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6B" w:rsidRPr="0059185A" w:rsidRDefault="000E4694" w:rsidP="000E4694">
      <w:pPr>
        <w:spacing w:after="120" w:line="276" w:lineRule="auto"/>
        <w:ind w:right="-285"/>
        <w:jc w:val="center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>ANEXO I DO EDITAL</w:t>
      </w:r>
    </w:p>
    <w:p w:rsidR="00DB206B" w:rsidRPr="0059185A" w:rsidRDefault="00DB206B" w:rsidP="00215250">
      <w:pPr>
        <w:ind w:left="-284" w:right="-285"/>
        <w:jc w:val="center"/>
        <w:rPr>
          <w:rFonts w:cs="Arial"/>
          <w:b/>
          <w:bCs/>
          <w:color w:val="000000"/>
          <w:szCs w:val="20"/>
        </w:rPr>
      </w:pPr>
      <w:r w:rsidRPr="0059185A">
        <w:rPr>
          <w:rFonts w:cs="Arial"/>
          <w:b/>
          <w:bCs/>
          <w:color w:val="000000"/>
          <w:szCs w:val="20"/>
        </w:rPr>
        <w:t>TERMO DE REFERÊNCIA</w:t>
      </w:r>
    </w:p>
    <w:p w:rsidR="004F50BC" w:rsidRPr="0059185A" w:rsidRDefault="004F50BC" w:rsidP="00215250">
      <w:pPr>
        <w:ind w:left="-284" w:right="-285"/>
        <w:jc w:val="center"/>
        <w:rPr>
          <w:rFonts w:cs="Arial"/>
          <w:bCs/>
          <w:iCs/>
          <w:szCs w:val="20"/>
        </w:rPr>
      </w:pPr>
    </w:p>
    <w:p w:rsidR="00DB206B" w:rsidRPr="0059185A" w:rsidRDefault="00B433B1" w:rsidP="00215250">
      <w:pPr>
        <w:ind w:left="-284" w:right="-285"/>
        <w:jc w:val="center"/>
        <w:rPr>
          <w:rFonts w:cs="Arial"/>
          <w:bCs/>
          <w:iCs/>
          <w:szCs w:val="20"/>
        </w:rPr>
      </w:pPr>
      <w:r w:rsidRPr="0059185A">
        <w:rPr>
          <w:rFonts w:cs="Arial"/>
          <w:bCs/>
          <w:iCs/>
          <w:szCs w:val="20"/>
        </w:rPr>
        <w:t xml:space="preserve">PRESTAÇÃO DE </w:t>
      </w:r>
      <w:r w:rsidR="00DB206B" w:rsidRPr="0059185A">
        <w:rPr>
          <w:rFonts w:cs="Arial"/>
          <w:bCs/>
          <w:iCs/>
          <w:szCs w:val="20"/>
        </w:rPr>
        <w:t xml:space="preserve">SERVIÇO </w:t>
      </w:r>
      <w:r w:rsidR="00CE691B" w:rsidRPr="0059185A">
        <w:rPr>
          <w:rFonts w:cs="Arial"/>
          <w:bCs/>
          <w:iCs/>
          <w:szCs w:val="20"/>
        </w:rPr>
        <w:t xml:space="preserve">CONTÍNUO </w:t>
      </w:r>
      <w:r w:rsidR="0061680E" w:rsidRPr="0059185A">
        <w:rPr>
          <w:rFonts w:cs="Arial"/>
          <w:bCs/>
          <w:iCs/>
          <w:szCs w:val="20"/>
        </w:rPr>
        <w:t>SEM DEDICAÇÃO EXCLUSIVA DE MÃO DE OBRA</w:t>
      </w:r>
    </w:p>
    <w:p w:rsidR="008304EB" w:rsidRPr="0059185A" w:rsidRDefault="008304EB" w:rsidP="004F50BC">
      <w:pPr>
        <w:ind w:left="-284" w:right="-285"/>
        <w:jc w:val="center"/>
        <w:rPr>
          <w:rFonts w:cs="Arial"/>
          <w:bCs/>
          <w:color w:val="000000"/>
          <w:szCs w:val="20"/>
        </w:rPr>
      </w:pPr>
    </w:p>
    <w:p w:rsidR="00DB206B" w:rsidRPr="0059185A" w:rsidRDefault="00DB206B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DO OBJETO</w:t>
      </w:r>
    </w:p>
    <w:p w:rsidR="00DB206B" w:rsidRPr="0059185A" w:rsidRDefault="004F50BC" w:rsidP="008D3AD0">
      <w:pPr>
        <w:autoSpaceDE w:val="0"/>
        <w:spacing w:after="120" w:line="276" w:lineRule="auto"/>
        <w:ind w:left="-284" w:right="-285"/>
        <w:jc w:val="both"/>
        <w:rPr>
          <w:rFonts w:cs="Arial"/>
          <w:sz w:val="22"/>
          <w:szCs w:val="22"/>
        </w:rPr>
      </w:pPr>
      <w:r w:rsidRPr="0059185A">
        <w:rPr>
          <w:rFonts w:cs="Arial"/>
          <w:sz w:val="22"/>
          <w:szCs w:val="22"/>
        </w:rPr>
        <w:t xml:space="preserve">Contratação de empresa especializada em serviços de telecomunicações, por meio de transmissão de voz e de outros sinais, para a prestação do Serviço Telefônico Fixo Comutado – STFC, na modalidade DDG (Discagem Direta Gratuita), utilizando o prefixo 0800 (Alcance Modalidade Nacional), único número, no sistema de tarifação reversa para chamadas locais ou para chamadas </w:t>
      </w:r>
      <w:proofErr w:type="gramStart"/>
      <w:r w:rsidRPr="0059185A">
        <w:rPr>
          <w:rFonts w:cs="Arial"/>
          <w:sz w:val="22"/>
          <w:szCs w:val="22"/>
        </w:rPr>
        <w:t>intra-regionais</w:t>
      </w:r>
      <w:proofErr w:type="gramEnd"/>
      <w:r w:rsidRPr="0059185A">
        <w:rPr>
          <w:rFonts w:cs="Arial"/>
          <w:sz w:val="22"/>
          <w:szCs w:val="22"/>
        </w:rPr>
        <w:t xml:space="preserve"> e inter-regionais para a Hemobrás.</w:t>
      </w:r>
    </w:p>
    <w:p w:rsidR="0055045F" w:rsidRPr="0059185A" w:rsidRDefault="0055045F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JUSTIFICATIVA E OBJETIVO DA CONTRATAÇÃO</w:t>
      </w:r>
    </w:p>
    <w:p w:rsidR="00637C55" w:rsidRDefault="004F50BC" w:rsidP="00637C55">
      <w:pPr>
        <w:numPr>
          <w:ilvl w:val="1"/>
          <w:numId w:val="1"/>
        </w:numPr>
        <w:spacing w:before="120" w:after="120" w:line="276" w:lineRule="auto"/>
        <w:ind w:left="426" w:right="-285" w:hanging="568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De</w:t>
      </w:r>
      <w:r w:rsidRPr="0059185A">
        <w:rPr>
          <w:rFonts w:cs="Arial"/>
        </w:rPr>
        <w:t xml:space="preserve"> </w:t>
      </w:r>
      <w:r w:rsidRPr="0059185A">
        <w:rPr>
          <w:rFonts w:cs="Arial"/>
          <w:color w:val="000000"/>
          <w:szCs w:val="20"/>
        </w:rPr>
        <w:t>acordo com o Memorando nº 0001/2017/AAR/PR, o qual aborda a Contratação de Serviço para viabilizar o número de Atendimento ao Cliente (SAC) – 0800</w:t>
      </w:r>
      <w:r w:rsidR="00637C55">
        <w:rPr>
          <w:rFonts w:cs="Arial"/>
          <w:color w:val="000000"/>
          <w:szCs w:val="20"/>
        </w:rPr>
        <w:t>:</w:t>
      </w:r>
    </w:p>
    <w:p w:rsidR="00637C55" w:rsidRPr="00801FB5" w:rsidRDefault="00637C55" w:rsidP="00801FB5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Arial"/>
          <w:color w:val="000000"/>
          <w:szCs w:val="20"/>
        </w:rPr>
      </w:pPr>
      <w:r w:rsidRPr="00637C55">
        <w:rPr>
          <w:rFonts w:cs="Times New Roman"/>
        </w:rPr>
        <w:t xml:space="preserve">Considerando o Decreto </w:t>
      </w:r>
      <w:r w:rsidRPr="00637C55">
        <w:rPr>
          <w:rFonts w:cs="Times New Roman"/>
          <w:bCs/>
        </w:rPr>
        <w:t>nº 6.523, de 31 de julho de 2008, que regula a</w:t>
      </w:r>
      <w:r w:rsidRPr="00637C55">
        <w:rPr>
          <w:rFonts w:cs="Times New Roman"/>
        </w:rPr>
        <w:t xml:space="preserve"> </w:t>
      </w:r>
      <w:hyperlink r:id="rId9" w:history="1">
        <w:r w:rsidRPr="00637C55">
          <w:rPr>
            <w:rFonts w:cs="Times New Roman"/>
          </w:rPr>
          <w:t>Lei no 8.078, de 11 de setembro de 1990</w:t>
        </w:r>
      </w:hyperlink>
      <w:r w:rsidRPr="00637C55">
        <w:rPr>
          <w:rFonts w:cs="Times New Roman"/>
        </w:rPr>
        <w:t>, e fixa normas gerais sobre o Serviço de Atendimento ao Consumidor - SAC por telefone, aplicado a fornecedores de serviços regulados pelo Poder Público Federal;</w:t>
      </w:r>
    </w:p>
    <w:p w:rsidR="00637C55" w:rsidRPr="00637C55" w:rsidRDefault="00637C55" w:rsidP="00801FB5">
      <w:pPr>
        <w:pStyle w:val="PargrafodaLista"/>
        <w:numPr>
          <w:ilvl w:val="3"/>
          <w:numId w:val="1"/>
        </w:numPr>
        <w:tabs>
          <w:tab w:val="left" w:pos="1418"/>
        </w:tabs>
        <w:spacing w:after="120"/>
        <w:contextualSpacing w:val="0"/>
        <w:jc w:val="both"/>
        <w:rPr>
          <w:rFonts w:cs="Times New Roman"/>
        </w:rPr>
      </w:pPr>
      <w:r w:rsidRPr="00637C55">
        <w:rPr>
          <w:rFonts w:cs="Times New Roman"/>
        </w:rPr>
        <w:t>Tal norma visa à observância dos direitos básicos do consumidor de obter informação adequada e clara sobre produtos, empresas, serviços e demais informações disponíveis relacionados ao setor regulado.</w:t>
      </w:r>
    </w:p>
    <w:p w:rsidR="00637C55" w:rsidRDefault="00637C55" w:rsidP="00801FB5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Times New Roman"/>
        </w:rPr>
      </w:pPr>
      <w:r>
        <w:rPr>
          <w:rFonts w:cs="Arial"/>
          <w:color w:val="000000"/>
          <w:szCs w:val="20"/>
        </w:rPr>
        <w:t xml:space="preserve"> </w:t>
      </w:r>
      <w:r w:rsidRPr="00637C55">
        <w:rPr>
          <w:rFonts w:cs="Times New Roman"/>
        </w:rPr>
        <w:t>Concomitantemente ao decreto acima mencionado, a</w:t>
      </w:r>
      <w:r w:rsidRPr="00925D0C">
        <w:rPr>
          <w:rFonts w:cs="Times New Roman"/>
        </w:rPr>
        <w:t xml:space="preserve"> ANVISA – órgão regulador do setor o qual a HEMOBRÁS está submetida a controle – também emite normas em que inclui a necessidade de número de telefone acessível para demandas.</w:t>
      </w:r>
    </w:p>
    <w:p w:rsidR="00D076B0" w:rsidRPr="00801FB5" w:rsidRDefault="00637C55" w:rsidP="00452F56">
      <w:pPr>
        <w:numPr>
          <w:ilvl w:val="3"/>
          <w:numId w:val="1"/>
        </w:numPr>
        <w:spacing w:before="120" w:after="120" w:line="276" w:lineRule="auto"/>
        <w:ind w:right="-285"/>
        <w:jc w:val="both"/>
        <w:rPr>
          <w:rFonts w:cs="Times New Roman"/>
        </w:rPr>
      </w:pPr>
      <w:r w:rsidRPr="00637C55">
        <w:rPr>
          <w:rFonts w:cs="Arial"/>
          <w:color w:val="000000"/>
          <w:szCs w:val="20"/>
        </w:rPr>
        <w:t xml:space="preserve">Em todos os regulamentos emitidos pela ANVISA que envolvem os impressos que acompanham os medicamentos, ou seja, a RDC n° 47 de 2009 sobre normas de padronização de texto de bula e a RDC n° 71 de 2009 sobre as normas de padronização de embalagens, é exigido que </w:t>
      </w:r>
      <w:proofErr w:type="gramStart"/>
      <w:r w:rsidRPr="00637C55">
        <w:rPr>
          <w:rFonts w:cs="Arial"/>
          <w:color w:val="000000"/>
          <w:szCs w:val="20"/>
        </w:rPr>
        <w:t>seja</w:t>
      </w:r>
      <w:proofErr w:type="gramEnd"/>
      <w:r w:rsidRPr="00637C55">
        <w:rPr>
          <w:rFonts w:cs="Arial"/>
          <w:color w:val="000000"/>
          <w:szCs w:val="20"/>
        </w:rPr>
        <w:t xml:space="preserve"> disponibilizado um número de SAC do titular do registro para atendimento de possíveis demandas de consumidores</w:t>
      </w:r>
    </w:p>
    <w:p w:rsidR="00D076B0" w:rsidRPr="00801FB5" w:rsidRDefault="00D076B0" w:rsidP="00452F56">
      <w:pPr>
        <w:numPr>
          <w:ilvl w:val="3"/>
          <w:numId w:val="1"/>
        </w:numPr>
        <w:spacing w:before="120" w:after="120" w:line="276" w:lineRule="auto"/>
        <w:ind w:right="-285"/>
        <w:jc w:val="both"/>
        <w:rPr>
          <w:rFonts w:cs="Times New Roman"/>
        </w:rPr>
      </w:pPr>
      <w:r w:rsidRPr="00D076B0">
        <w:rPr>
          <w:rFonts w:cs="Arial"/>
          <w:color w:val="000000"/>
          <w:szCs w:val="20"/>
        </w:rPr>
        <w:t>Em relação à área de Farmacovigilância, as normas instituídas pela ANVISA por meio de sua Instrução Normativa nº 14 de 2009, que complementa a RDC nº 04 de 2009 , assim como todos os guias de farmacovigilancia disponibilizados pela Agência instituem que deverá existir um canal adequado para contato do usuário e do profissional de saúde com o Detentor do Registro do medicamento, por meio do Responsável pela Farmacovigilância (RFV) para notificações de eventos adversos.</w:t>
      </w:r>
    </w:p>
    <w:p w:rsidR="0055045F" w:rsidRPr="00637C55" w:rsidRDefault="00D076B0" w:rsidP="00452F56">
      <w:pPr>
        <w:numPr>
          <w:ilvl w:val="3"/>
          <w:numId w:val="1"/>
        </w:numPr>
        <w:spacing w:before="120" w:after="120" w:line="276" w:lineRule="auto"/>
        <w:ind w:right="-285"/>
        <w:jc w:val="both"/>
        <w:rPr>
          <w:rFonts w:cs="Times New Roman"/>
        </w:rPr>
      </w:pPr>
      <w:r w:rsidRPr="00D076B0">
        <w:rPr>
          <w:rFonts w:cs="Arial"/>
          <w:color w:val="000000"/>
          <w:szCs w:val="20"/>
        </w:rPr>
        <w:t xml:space="preserve">O Guia de Boas Práticas de Inspeção em Farmacovigilância para Detentores de Registro de Medicamentos (BPIF) instrui que “O RFV deverá providenciar informações que promovam a possibilidade de contato. Se disponível, informar contato 24 horas por dia, caso exista necessidade por parte das Autoridades Sanitárias”. </w:t>
      </w:r>
    </w:p>
    <w:p w:rsidR="0034689B" w:rsidRPr="00393E14" w:rsidRDefault="00D076B0" w:rsidP="00AC0E4C">
      <w:pPr>
        <w:numPr>
          <w:ilvl w:val="1"/>
          <w:numId w:val="1"/>
        </w:numPr>
        <w:spacing w:before="120" w:after="120" w:line="276" w:lineRule="auto"/>
        <w:ind w:left="426" w:right="-285" w:hanging="568"/>
        <w:jc w:val="both"/>
        <w:rPr>
          <w:rFonts w:cs="Arial"/>
          <w:color w:val="000000"/>
          <w:szCs w:val="20"/>
        </w:rPr>
      </w:pPr>
      <w:r>
        <w:rPr>
          <w:sz w:val="22"/>
          <w:szCs w:val="22"/>
        </w:rPr>
        <w:t>Solicita-se a contratação de um serviço capaz de p</w:t>
      </w:r>
      <w:r w:rsidR="0034689B" w:rsidRPr="007B555D">
        <w:rPr>
          <w:sz w:val="22"/>
          <w:szCs w:val="22"/>
        </w:rPr>
        <w:t xml:space="preserve">rover um canal de comunicação com o cliente, tornando possível receber chamadas de telefones fixos ou móveis de qualquer lugar do país por meio de um único número de acesso, sem ônus para o </w:t>
      </w:r>
      <w:r w:rsidR="0034689B" w:rsidRPr="007B555D">
        <w:rPr>
          <w:sz w:val="22"/>
          <w:szCs w:val="22"/>
        </w:rPr>
        <w:lastRenderedPageBreak/>
        <w:t>originador das chamadas</w:t>
      </w:r>
      <w:r w:rsidR="0034689B" w:rsidRPr="007B555D">
        <w:t xml:space="preserve">, para </w:t>
      </w:r>
      <w:proofErr w:type="gramStart"/>
      <w:r w:rsidR="0034689B" w:rsidRPr="007B555D">
        <w:rPr>
          <w:sz w:val="22"/>
          <w:szCs w:val="22"/>
        </w:rPr>
        <w:t>dirimir dúvidas</w:t>
      </w:r>
      <w:proofErr w:type="gramEnd"/>
      <w:r w:rsidR="0034689B" w:rsidRPr="007B555D">
        <w:rPr>
          <w:sz w:val="22"/>
          <w:szCs w:val="22"/>
        </w:rPr>
        <w:t xml:space="preserve"> sobre produtos ou notificar eventos adversos dinamizando o serviço de assistência de interesse institucional.</w:t>
      </w:r>
    </w:p>
    <w:p w:rsidR="00393E14" w:rsidRPr="0059185A" w:rsidRDefault="00393E14" w:rsidP="00393E14">
      <w:pPr>
        <w:spacing w:before="120" w:after="120" w:line="276" w:lineRule="auto"/>
        <w:ind w:left="426" w:right="-285"/>
        <w:jc w:val="both"/>
        <w:rPr>
          <w:rFonts w:cs="Arial"/>
          <w:color w:val="000000"/>
          <w:szCs w:val="20"/>
        </w:rPr>
      </w:pPr>
    </w:p>
    <w:p w:rsidR="00DB206B" w:rsidRPr="00AC0E4C" w:rsidRDefault="00DB206B" w:rsidP="008D3AD0">
      <w:pPr>
        <w:pStyle w:val="Nivel1"/>
        <w:autoSpaceDE w:val="0"/>
        <w:ind w:left="-284" w:right="-285" w:firstLine="0"/>
        <w:rPr>
          <w:rFonts w:cs="Arial"/>
        </w:rPr>
      </w:pPr>
      <w:r w:rsidRPr="00AC0E4C">
        <w:rPr>
          <w:rFonts w:cs="Arial"/>
        </w:rPr>
        <w:t>DA CLASSIFICAÇÃO DOS SERVIÇOS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Os serviços a serem contratados enquadram-se nos pressupostos do Decreto n° 2.271, de 1997, c</w:t>
      </w:r>
      <w:r w:rsidR="003C25D1" w:rsidRPr="0059185A">
        <w:rPr>
          <w:rFonts w:cs="Arial"/>
          <w:color w:val="000000"/>
          <w:szCs w:val="20"/>
        </w:rPr>
        <w:t xml:space="preserve">onstituindo-se em </w:t>
      </w:r>
      <w:r w:rsidRPr="0059185A">
        <w:rPr>
          <w:rFonts w:cs="Arial"/>
          <w:color w:val="000000"/>
          <w:szCs w:val="20"/>
        </w:rPr>
        <w:t xml:space="preserve">atividades materiais acessórias, instrumentais ou complementares à área de competência legal do órgão </w:t>
      </w:r>
      <w:r w:rsidR="00D076B0">
        <w:rPr>
          <w:rFonts w:cs="Arial"/>
          <w:color w:val="000000"/>
          <w:szCs w:val="20"/>
        </w:rPr>
        <w:t>contratada</w:t>
      </w:r>
      <w:r w:rsidRPr="0059185A">
        <w:rPr>
          <w:rFonts w:cs="Arial"/>
          <w:color w:val="000000"/>
          <w:szCs w:val="20"/>
        </w:rPr>
        <w:t>, não</w:t>
      </w:r>
      <w:r w:rsidR="003C25D1" w:rsidRPr="0059185A">
        <w:rPr>
          <w:rFonts w:cs="Arial"/>
          <w:color w:val="000000"/>
          <w:szCs w:val="20"/>
        </w:rPr>
        <w:t xml:space="preserve"> </w:t>
      </w:r>
      <w:r w:rsidRPr="0059185A">
        <w:rPr>
          <w:rFonts w:cs="Arial"/>
          <w:color w:val="000000"/>
          <w:szCs w:val="20"/>
        </w:rPr>
        <w:t>inerentes às categorias funcionais abrangidas por seu respectivo plano de cargos.</w:t>
      </w:r>
    </w:p>
    <w:p w:rsidR="00DB206B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A prestação dos serviços não gera vínculo empregatício entre os empregados da </w:t>
      </w:r>
      <w:r w:rsidR="00D52359" w:rsidRPr="0059185A">
        <w:rPr>
          <w:rFonts w:cs="Arial"/>
          <w:color w:val="000000"/>
          <w:szCs w:val="20"/>
        </w:rPr>
        <w:t>Contratada</w:t>
      </w:r>
      <w:r w:rsidRPr="0059185A">
        <w:rPr>
          <w:rFonts w:cs="Arial"/>
          <w:color w:val="000000"/>
          <w:szCs w:val="20"/>
        </w:rPr>
        <w:t xml:space="preserve"> e a Administração, vedando-se qualquer relação entre estes que caracterize pessoalidade e subordinação direta.</w:t>
      </w:r>
    </w:p>
    <w:p w:rsidR="00393E14" w:rsidRPr="0059185A" w:rsidRDefault="00393E14" w:rsidP="00393E14">
      <w:pPr>
        <w:spacing w:before="120" w:after="120" w:line="276" w:lineRule="auto"/>
        <w:ind w:left="-284" w:right="-285"/>
        <w:jc w:val="both"/>
        <w:rPr>
          <w:rFonts w:cs="Arial"/>
          <w:color w:val="000000"/>
          <w:szCs w:val="20"/>
        </w:rPr>
      </w:pPr>
    </w:p>
    <w:p w:rsidR="00DB206B" w:rsidRPr="0059185A" w:rsidRDefault="00DB206B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FORMA DE PRESTAÇÃO DOS SERVIÇOS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>Os serviços serão executados conforme discriminado abaixo:</w:t>
      </w:r>
    </w:p>
    <w:p w:rsidR="00DB206B" w:rsidRPr="00A17043" w:rsidRDefault="00025749" w:rsidP="00AC0E4C">
      <w:pPr>
        <w:pStyle w:val="PargrafodaLista"/>
        <w:numPr>
          <w:ilvl w:val="2"/>
          <w:numId w:val="1"/>
        </w:numPr>
        <w:spacing w:before="120" w:after="120" w:line="276" w:lineRule="auto"/>
        <w:ind w:left="426" w:right="-285" w:hanging="788"/>
        <w:contextualSpacing w:val="0"/>
        <w:jc w:val="both"/>
        <w:rPr>
          <w:rFonts w:cs="Arial"/>
          <w:bCs/>
          <w:szCs w:val="20"/>
        </w:rPr>
      </w:pPr>
      <w:r w:rsidRPr="0059185A">
        <w:rPr>
          <w:rFonts w:cs="Arial"/>
          <w:bCs/>
          <w:szCs w:val="20"/>
        </w:rPr>
        <w:t>O serviço 0800 deverá possuir número único nacional, possibilitando acesso de todas as unidades de federação, com centro de atendimento das chamadas no estado de Pernambuco;</w:t>
      </w:r>
    </w:p>
    <w:p w:rsidR="00DB206B" w:rsidRPr="00A17043" w:rsidRDefault="0034689B" w:rsidP="00AC0E4C">
      <w:pPr>
        <w:pStyle w:val="PargrafodaLista"/>
        <w:numPr>
          <w:ilvl w:val="2"/>
          <w:numId w:val="1"/>
        </w:numPr>
        <w:spacing w:before="120" w:after="120" w:line="276" w:lineRule="auto"/>
        <w:ind w:left="426" w:right="-285" w:hanging="71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>O serviço 0800 deverá completar chamadas da modalidade local e longa distância originadas de terminais fixos ou móveis, vedadas às chamadas de longa distância internacional;</w:t>
      </w:r>
    </w:p>
    <w:p w:rsidR="0034689B" w:rsidRPr="00A17043" w:rsidRDefault="0034689B" w:rsidP="00AC0E4C">
      <w:pPr>
        <w:pStyle w:val="PargrafodaLista"/>
        <w:numPr>
          <w:ilvl w:val="2"/>
          <w:numId w:val="1"/>
        </w:numPr>
        <w:spacing w:before="120" w:after="120" w:line="276" w:lineRule="auto"/>
        <w:ind w:left="0" w:right="-285" w:hanging="284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 xml:space="preserve">Durante o horário de trabalho da HEMOBRÁS, das </w:t>
      </w:r>
      <w:proofErr w:type="gramStart"/>
      <w:r w:rsidRPr="00801FB5">
        <w:rPr>
          <w:szCs w:val="20"/>
        </w:rPr>
        <w:t>8:00</w:t>
      </w:r>
      <w:proofErr w:type="gramEnd"/>
      <w:r w:rsidRPr="00801FB5">
        <w:rPr>
          <w:szCs w:val="20"/>
        </w:rPr>
        <w:t>h às 17:00h, o 0800 transfere as ligações para cada serviço específico, conforme Mensagem de Navegação;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 xml:space="preserve">Mensagem de Navegação: disponibilizar árvore de navegação com mínimo de 06 (seis) opções, conforme seleção do usuário, segundo as opções da árvore de navegação de primeiro nível. O número de opções da árvore de primeiro nível poderá ser alterado a qualquer tempo pela HEMOBRÁS, o que implica em readequação da rede inteligente da </w:t>
      </w:r>
      <w:r w:rsidR="00D076B0" w:rsidRPr="00801FB5">
        <w:rPr>
          <w:szCs w:val="20"/>
        </w:rPr>
        <w:t>CONTRATADA</w:t>
      </w:r>
      <w:r w:rsidRPr="00801FB5">
        <w:rPr>
          <w:szCs w:val="20"/>
        </w:rPr>
        <w:t xml:space="preserve"> vencedora às novas necessidades. As mensagens de voz serão gravadas e fornecidas pela HEMOBRÁS. No caso de optar por qualquer opção da árvore, a rede inteligente fará a regeneração para números já existentes da Central Virtual atualmente em operação na HEMOBRÁS;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 xml:space="preserve">Nos horários fora de atendimento – após </w:t>
      </w:r>
      <w:proofErr w:type="gramStart"/>
      <w:r w:rsidRPr="00801FB5">
        <w:rPr>
          <w:szCs w:val="20"/>
        </w:rPr>
        <w:t>17:00</w:t>
      </w:r>
      <w:proofErr w:type="gramEnd"/>
      <w:r w:rsidRPr="00801FB5">
        <w:rPr>
          <w:szCs w:val="20"/>
        </w:rPr>
        <w:t>h e até às 8:00h do dia seguinte e nos finais de semana – a rede inteligente informa mensagem padrão ao usuário, explicando que a ligação está fora do horário definido pela HEMOBRÁS para atendimento;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>Permitir que o serviço em caso de chamadas perdidas por congestionamento (CO), perdidas por ocupado (LO), perdidas por não responder (NR), sejam reencaminhadas para uma opção da árvore de navegação de primeiro nível;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 xml:space="preserve">O serviço deverá ser disponibilizado pela </w:t>
      </w:r>
      <w:r w:rsidR="00D076B0" w:rsidRPr="00801FB5">
        <w:rPr>
          <w:szCs w:val="20"/>
        </w:rPr>
        <w:t>CONTRATADA</w:t>
      </w:r>
      <w:r w:rsidRPr="00801FB5">
        <w:rPr>
          <w:szCs w:val="20"/>
        </w:rPr>
        <w:t>, 24 horas por dia, 07 dias por semana, de domingo a sábado;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>Na hipótese de ocorrência que requeira intervenção técnica, a solução do problema não deverá ser superior a 04 (quatro) horas, a partir da abertura do chamado pela Hemobrás;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 xml:space="preserve">A </w:t>
      </w:r>
      <w:r w:rsidR="00D076B0" w:rsidRPr="00801FB5">
        <w:rPr>
          <w:szCs w:val="20"/>
        </w:rPr>
        <w:t>CONTRATADA</w:t>
      </w:r>
      <w:r w:rsidRPr="00801FB5">
        <w:rPr>
          <w:szCs w:val="20"/>
        </w:rPr>
        <w:t xml:space="preserve"> vencedora deverá disponibilizar um número que sirva para receber demandas de manutenção/comunicação com a HEMOBRÁS;</w:t>
      </w:r>
    </w:p>
    <w:p w:rsidR="0034689B" w:rsidRPr="00A17043" w:rsidRDefault="0034689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801FB5">
        <w:rPr>
          <w:szCs w:val="20"/>
        </w:rPr>
        <w:t xml:space="preserve">A </w:t>
      </w:r>
      <w:r w:rsidR="00D076B0" w:rsidRPr="00801FB5">
        <w:rPr>
          <w:szCs w:val="20"/>
        </w:rPr>
        <w:t>CONTRATADA</w:t>
      </w:r>
      <w:r w:rsidRPr="00801FB5">
        <w:rPr>
          <w:szCs w:val="20"/>
        </w:rPr>
        <w:t xml:space="preserve"> deverá fornecer mensalmente à Hemobrás, informações relativas à demanda ocorrida na rede. Com relação a cada chamada, discriminar a origem (localidade e número </w:t>
      </w:r>
      <w:r w:rsidRPr="00801FB5">
        <w:rPr>
          <w:szCs w:val="20"/>
        </w:rPr>
        <w:lastRenderedPageBreak/>
        <w:t xml:space="preserve">de telefone), duração, data, hora e valor das chamadas; e, relatórios estatísticos apresentando a quantidade de chamadas, se a origem foi móvel ou </w:t>
      </w:r>
      <w:proofErr w:type="gramStart"/>
      <w:r w:rsidRPr="00801FB5">
        <w:rPr>
          <w:szCs w:val="20"/>
        </w:rPr>
        <w:t>fixo,</w:t>
      </w:r>
      <w:proofErr w:type="gramEnd"/>
      <w:r w:rsidRPr="00801FB5">
        <w:rPr>
          <w:szCs w:val="20"/>
        </w:rPr>
        <w:t xml:space="preserve"> tempo médio de duração das chamadas; índice de chamadas não respondidas (NR); índice de chamadas perdidas (LO) e índice de chamadas congestionadas (CO).</w:t>
      </w:r>
    </w:p>
    <w:p w:rsidR="00393E14" w:rsidRPr="0059185A" w:rsidRDefault="00393E14" w:rsidP="00393E14">
      <w:pPr>
        <w:pStyle w:val="PargrafodaLista"/>
        <w:spacing w:before="120" w:after="120" w:line="276" w:lineRule="auto"/>
        <w:ind w:left="-284" w:right="-285"/>
        <w:contextualSpacing w:val="0"/>
        <w:jc w:val="both"/>
        <w:rPr>
          <w:rFonts w:cs="Arial"/>
          <w:bCs/>
          <w:szCs w:val="20"/>
        </w:rPr>
      </w:pPr>
    </w:p>
    <w:p w:rsidR="00DB206B" w:rsidRPr="0059185A" w:rsidRDefault="00DB206B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INFORMAÇÕES RELEVANTES PARA O DIMENSIONAMENTO DA PROPOSTA</w:t>
      </w:r>
    </w:p>
    <w:p w:rsidR="00DB206B" w:rsidRPr="00A17043" w:rsidRDefault="00DB206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A17043">
        <w:rPr>
          <w:rFonts w:cs="Arial"/>
          <w:bCs/>
          <w:color w:val="000000"/>
          <w:szCs w:val="20"/>
        </w:rPr>
        <w:t xml:space="preserve">A demanda do órgão tem como base as seguintes </w:t>
      </w:r>
      <w:proofErr w:type="gramStart"/>
      <w:r w:rsidRPr="00A17043">
        <w:rPr>
          <w:rFonts w:cs="Arial"/>
          <w:bCs/>
          <w:color w:val="000000"/>
          <w:szCs w:val="20"/>
        </w:rPr>
        <w:t>características:</w:t>
      </w:r>
      <w:proofErr w:type="gramEnd"/>
      <w:r w:rsidR="0034689B" w:rsidRPr="00801FB5">
        <w:rPr>
          <w:szCs w:val="20"/>
        </w:rPr>
        <w:t>500 (quinhe</w:t>
      </w:r>
      <w:r w:rsidR="0078157D" w:rsidRPr="00801FB5">
        <w:rPr>
          <w:szCs w:val="20"/>
        </w:rPr>
        <w:t>n</w:t>
      </w:r>
      <w:r w:rsidR="0034689B" w:rsidRPr="00801FB5">
        <w:rPr>
          <w:szCs w:val="20"/>
        </w:rPr>
        <w:t>tos) minutos ao mês, conforme o perfil de tráfego mais o valor fixo mensal constante na TABELA</w:t>
      </w:r>
      <w:r w:rsidR="0034689B" w:rsidRPr="00801FB5">
        <w:rPr>
          <w:b/>
          <w:szCs w:val="20"/>
        </w:rPr>
        <w:t xml:space="preserve"> </w:t>
      </w:r>
      <w:r w:rsidR="0034689B" w:rsidRPr="00801FB5">
        <w:rPr>
          <w:szCs w:val="20"/>
        </w:rPr>
        <w:t xml:space="preserve">01 do item </w:t>
      </w:r>
      <w:r w:rsidR="00D75138" w:rsidRPr="00801FB5">
        <w:rPr>
          <w:szCs w:val="20"/>
        </w:rPr>
        <w:t>10 deste Termo de Referência</w:t>
      </w:r>
      <w:r w:rsidRPr="00A17043">
        <w:rPr>
          <w:rFonts w:cs="Arial"/>
          <w:bCs/>
          <w:szCs w:val="20"/>
        </w:rPr>
        <w:t>;</w:t>
      </w:r>
    </w:p>
    <w:p w:rsidR="00DB206B" w:rsidRDefault="003114E4" w:rsidP="00AC0E4C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 w:rsidRPr="00514DF0">
        <w:t xml:space="preserve"> </w:t>
      </w:r>
      <w:r w:rsidRPr="00514DF0">
        <w:rPr>
          <w:rFonts w:cs="Arial"/>
          <w:bCs/>
          <w:szCs w:val="20"/>
        </w:rPr>
        <w:t xml:space="preserve">O prazo de instalação e ativação do serviço deverá ser de </w:t>
      </w:r>
      <w:r w:rsidR="00FC2617">
        <w:rPr>
          <w:rFonts w:cs="Arial"/>
          <w:bCs/>
          <w:szCs w:val="20"/>
        </w:rPr>
        <w:t>30</w:t>
      </w:r>
      <w:r w:rsidR="00FC2617" w:rsidRPr="00514DF0">
        <w:rPr>
          <w:rFonts w:cs="Arial"/>
          <w:bCs/>
          <w:szCs w:val="20"/>
        </w:rPr>
        <w:t xml:space="preserve"> </w:t>
      </w:r>
      <w:r w:rsidRPr="00514DF0">
        <w:rPr>
          <w:rFonts w:cs="Arial"/>
          <w:bCs/>
          <w:szCs w:val="20"/>
        </w:rPr>
        <w:t>(</w:t>
      </w:r>
      <w:r w:rsidR="00FC2617">
        <w:rPr>
          <w:rFonts w:cs="Arial"/>
          <w:bCs/>
          <w:szCs w:val="20"/>
        </w:rPr>
        <w:t>trinta</w:t>
      </w:r>
      <w:r w:rsidRPr="00514DF0">
        <w:rPr>
          <w:rFonts w:cs="Arial"/>
          <w:bCs/>
          <w:szCs w:val="20"/>
        </w:rPr>
        <w:t>) dias, contados a partir da data da assinatura do contrato</w:t>
      </w:r>
      <w:r w:rsidR="00DB206B" w:rsidRPr="00514DF0">
        <w:rPr>
          <w:rFonts w:cs="Arial"/>
          <w:bCs/>
          <w:szCs w:val="20"/>
        </w:rPr>
        <w:t>;</w:t>
      </w:r>
    </w:p>
    <w:p w:rsidR="009A7FE3" w:rsidRDefault="009A7FE3" w:rsidP="00AC0E4C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A </w:t>
      </w:r>
      <w:r w:rsidR="00D076B0">
        <w:rPr>
          <w:rFonts w:cs="Arial"/>
          <w:bCs/>
          <w:szCs w:val="20"/>
        </w:rPr>
        <w:t>CONTRATADA</w:t>
      </w:r>
      <w:r>
        <w:rPr>
          <w:rFonts w:cs="Arial"/>
          <w:bCs/>
          <w:szCs w:val="20"/>
        </w:rPr>
        <w:t xml:space="preserve"> deverá realizar, em caso de necessidade, </w:t>
      </w:r>
      <w:r w:rsidR="00481B5F">
        <w:rPr>
          <w:rFonts w:cs="Arial"/>
          <w:bCs/>
          <w:szCs w:val="20"/>
        </w:rPr>
        <w:t>o serviço de portabilidade, sem ônus para Hemobrás.</w:t>
      </w:r>
      <w:r>
        <w:rPr>
          <w:rFonts w:cs="Arial"/>
          <w:bCs/>
          <w:szCs w:val="20"/>
        </w:rPr>
        <w:t xml:space="preserve"> </w:t>
      </w:r>
    </w:p>
    <w:p w:rsidR="00481B5F" w:rsidRDefault="009A7FE3" w:rsidP="00AC0E4C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A Hemobrás </w:t>
      </w:r>
      <w:r w:rsidR="00D076B0">
        <w:rPr>
          <w:rFonts w:cs="Arial"/>
          <w:bCs/>
          <w:szCs w:val="20"/>
        </w:rPr>
        <w:t xml:space="preserve">atualmente </w:t>
      </w:r>
      <w:r>
        <w:rPr>
          <w:rFonts w:cs="Arial"/>
          <w:bCs/>
          <w:szCs w:val="20"/>
        </w:rPr>
        <w:t xml:space="preserve">possui o numero 0800 280 0477 </w:t>
      </w:r>
      <w:r w:rsidR="00C31318">
        <w:rPr>
          <w:rFonts w:cs="Arial"/>
          <w:bCs/>
          <w:szCs w:val="20"/>
        </w:rPr>
        <w:t xml:space="preserve">cadastrado </w:t>
      </w:r>
      <w:r>
        <w:rPr>
          <w:rFonts w:cs="Arial"/>
          <w:bCs/>
          <w:szCs w:val="20"/>
        </w:rPr>
        <w:t xml:space="preserve">para </w:t>
      </w:r>
      <w:r w:rsidR="00C31318">
        <w:rPr>
          <w:rFonts w:cs="Arial"/>
          <w:bCs/>
          <w:szCs w:val="20"/>
        </w:rPr>
        <w:t xml:space="preserve">o </w:t>
      </w:r>
      <w:r>
        <w:rPr>
          <w:rFonts w:cs="Arial"/>
          <w:bCs/>
          <w:szCs w:val="20"/>
        </w:rPr>
        <w:t>SAC</w:t>
      </w:r>
      <w:r w:rsidR="00C31318">
        <w:rPr>
          <w:rFonts w:cs="Arial"/>
          <w:bCs/>
          <w:szCs w:val="20"/>
        </w:rPr>
        <w:t xml:space="preserve">, </w:t>
      </w:r>
      <w:r w:rsidR="00A17043">
        <w:rPr>
          <w:rFonts w:cs="Arial"/>
          <w:bCs/>
          <w:szCs w:val="20"/>
        </w:rPr>
        <w:t xml:space="preserve">tal informação é </w:t>
      </w:r>
      <w:r w:rsidR="00C31318">
        <w:rPr>
          <w:rFonts w:cs="Arial"/>
          <w:bCs/>
          <w:szCs w:val="20"/>
        </w:rPr>
        <w:t>divulgada</w:t>
      </w:r>
      <w:r w:rsidR="00D076B0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nas embalagens de medicamentos produzidos</w:t>
      </w:r>
      <w:r w:rsidR="00D076B0">
        <w:rPr>
          <w:rFonts w:cs="Arial"/>
          <w:bCs/>
          <w:szCs w:val="20"/>
        </w:rPr>
        <w:t xml:space="preserve"> e nos demais canais de comunicação, sendo este o </w:t>
      </w:r>
      <w:r w:rsidR="00C31318">
        <w:rPr>
          <w:rFonts w:cs="Arial"/>
          <w:bCs/>
          <w:szCs w:val="20"/>
        </w:rPr>
        <w:t>número</w:t>
      </w:r>
      <w:r w:rsidR="00D076B0">
        <w:rPr>
          <w:rFonts w:cs="Arial"/>
          <w:bCs/>
          <w:szCs w:val="20"/>
        </w:rPr>
        <w:t xml:space="preserve"> utilizado para o serviço em questão</w:t>
      </w:r>
      <w:r w:rsidR="00C31318">
        <w:rPr>
          <w:rFonts w:cs="Arial"/>
          <w:bCs/>
          <w:szCs w:val="20"/>
        </w:rPr>
        <w:t xml:space="preserve"> pelo contrato vigente</w:t>
      </w:r>
      <w:r w:rsidR="00801FB5">
        <w:rPr>
          <w:rFonts w:cs="Arial"/>
          <w:bCs/>
          <w:szCs w:val="20"/>
        </w:rPr>
        <w:t xml:space="preserve">, assim, é </w:t>
      </w:r>
      <w:proofErr w:type="gramStart"/>
      <w:r w:rsidR="00801FB5">
        <w:rPr>
          <w:rFonts w:cs="Arial"/>
          <w:bCs/>
          <w:szCs w:val="20"/>
        </w:rPr>
        <w:t>obrigatório</w:t>
      </w:r>
      <w:proofErr w:type="gramEnd"/>
      <w:r w:rsidR="00801FB5">
        <w:rPr>
          <w:rFonts w:cs="Arial"/>
          <w:bCs/>
          <w:szCs w:val="20"/>
        </w:rPr>
        <w:t xml:space="preserve"> a manutenção deste número pela CONTRATADA na prestação do seu serviço.</w:t>
      </w:r>
    </w:p>
    <w:p w:rsidR="00A17043" w:rsidRPr="00801FB5" w:rsidRDefault="0078157D" w:rsidP="00A17043">
      <w:pPr>
        <w:pStyle w:val="PargrafodaLista"/>
        <w:numPr>
          <w:ilvl w:val="2"/>
          <w:numId w:val="1"/>
        </w:numPr>
        <w:spacing w:before="120" w:after="120" w:line="276" w:lineRule="auto"/>
        <w:ind w:left="0" w:right="-285" w:hanging="284"/>
        <w:contextualSpacing w:val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Os serviços </w:t>
      </w:r>
      <w:r w:rsidRPr="00801FB5">
        <w:rPr>
          <w:szCs w:val="20"/>
        </w:rPr>
        <w:t>deverão ser disponibilizados na Empresa Brasileira de Hemoderivados e Biotecnologia – Hemobrás, situada na</w:t>
      </w:r>
      <w:r w:rsidR="00FC2617" w:rsidRPr="00801FB5">
        <w:rPr>
          <w:szCs w:val="20"/>
        </w:rPr>
        <w:t xml:space="preserve"> Rua Professor Aloísio Pessoa de Araújo, nº 75, Ed. Boa Viagem Corporate, 8º e 9º andares, Boa Viagem</w:t>
      </w:r>
      <w:r w:rsidRPr="00801FB5">
        <w:rPr>
          <w:szCs w:val="20"/>
        </w:rPr>
        <w:t>, Recife-PE.</w:t>
      </w:r>
    </w:p>
    <w:p w:rsidR="00A17043" w:rsidRDefault="00A17043" w:rsidP="00801FB5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>A Contratada deverá arcar com o ônus decorrente de eventual equívoco no dimensionamento dos quantitativos de sua proposta, caso o previsto não seja satisfatório para o atendimento do objeto da licitação, exceto quando ocorrer algum dos eventos arrolados nos incisos do §1º, do artigo 57, da Lei nº 8.666, de 1993.</w:t>
      </w:r>
    </w:p>
    <w:p w:rsidR="00C833CA" w:rsidRPr="00801FB5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bCs/>
          <w:color w:val="000000"/>
          <w:szCs w:val="20"/>
        </w:rPr>
      </w:pPr>
    </w:p>
    <w:p w:rsidR="00DB206B" w:rsidRPr="00514DF0" w:rsidRDefault="0055045F" w:rsidP="008D3AD0">
      <w:pPr>
        <w:pStyle w:val="Nivel1"/>
        <w:ind w:left="-284" w:right="-285" w:firstLine="0"/>
        <w:rPr>
          <w:rFonts w:cs="Arial"/>
        </w:rPr>
      </w:pPr>
      <w:r w:rsidRPr="00514DF0">
        <w:rPr>
          <w:rFonts w:cs="Arial"/>
        </w:rPr>
        <w:t>METODOLOGIA DE AVALIAÇÃO DA EXECUÇÃO DOS SERVIÇOS.</w:t>
      </w:r>
    </w:p>
    <w:p w:rsidR="003114E4" w:rsidRDefault="00470F05" w:rsidP="00C833CA">
      <w:pPr>
        <w:numPr>
          <w:ilvl w:val="1"/>
          <w:numId w:val="38"/>
        </w:numPr>
        <w:spacing w:before="120" w:after="120" w:line="276" w:lineRule="auto"/>
        <w:jc w:val="both"/>
        <w:rPr>
          <w:rFonts w:cs="Arial"/>
          <w:color w:val="000000" w:themeColor="text1"/>
          <w:szCs w:val="20"/>
        </w:rPr>
      </w:pPr>
      <w:r w:rsidRPr="00C833CA">
        <w:rPr>
          <w:rFonts w:cs="Arial"/>
          <w:color w:val="000000" w:themeColor="text1"/>
          <w:szCs w:val="20"/>
        </w:rPr>
        <w:t xml:space="preserve">Periodicamente o fiscal do contrato irá executar ligações no número 0800 para verificar o funcionamento da mesma, executando todas as opções da árvore de ligações. </w:t>
      </w:r>
    </w:p>
    <w:p w:rsidR="00C833CA" w:rsidRPr="00C833CA" w:rsidRDefault="00C833CA" w:rsidP="00C833CA">
      <w:pPr>
        <w:spacing w:before="120" w:after="120" w:line="276" w:lineRule="auto"/>
        <w:ind w:left="432"/>
        <w:jc w:val="both"/>
        <w:rPr>
          <w:rFonts w:cs="Arial"/>
          <w:color w:val="000000" w:themeColor="text1"/>
          <w:szCs w:val="20"/>
        </w:rPr>
      </w:pPr>
    </w:p>
    <w:p w:rsidR="006E3E48" w:rsidRPr="0059185A" w:rsidRDefault="006E3E48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 xml:space="preserve">EXECUÇÃO DOS SERVIÇOS E SEU RECEBIMENTO </w:t>
      </w:r>
    </w:p>
    <w:p w:rsidR="00846BBE" w:rsidRDefault="00801641" w:rsidP="00DC6652">
      <w:pPr>
        <w:numPr>
          <w:ilvl w:val="1"/>
          <w:numId w:val="38"/>
        </w:numPr>
        <w:spacing w:before="120" w:after="120" w:line="276" w:lineRule="auto"/>
        <w:jc w:val="both"/>
        <w:rPr>
          <w:rFonts w:cs="Arial"/>
          <w:color w:val="000000" w:themeColor="text1"/>
          <w:szCs w:val="20"/>
        </w:rPr>
      </w:pPr>
      <w:r w:rsidRPr="00452F56">
        <w:rPr>
          <w:rFonts w:cs="Arial"/>
          <w:color w:val="000000" w:themeColor="text1"/>
          <w:szCs w:val="20"/>
        </w:rPr>
        <w:t xml:space="preserve">Os serviços serão recebidos provisoriamente no </w:t>
      </w:r>
      <w:r w:rsidRPr="0050489B">
        <w:rPr>
          <w:rFonts w:cs="Arial"/>
          <w:szCs w:val="20"/>
        </w:rPr>
        <w:t xml:space="preserve">prazo de trinta (30) dias, </w:t>
      </w:r>
      <w:proofErr w:type="gramStart"/>
      <w:r w:rsidRPr="0050489B">
        <w:rPr>
          <w:rFonts w:cs="Arial"/>
          <w:szCs w:val="20"/>
        </w:rPr>
        <w:t>pelo(</w:t>
      </w:r>
      <w:proofErr w:type="gramEnd"/>
      <w:r w:rsidRPr="0050489B">
        <w:rPr>
          <w:rFonts w:cs="Arial"/>
          <w:szCs w:val="20"/>
        </w:rPr>
        <w:t xml:space="preserve">a) responsável pelo acompanhamento e fiscalização do contrato, para efeito de </w:t>
      </w:r>
      <w:r w:rsidRPr="00452F56">
        <w:rPr>
          <w:rFonts w:cs="Arial"/>
          <w:color w:val="000000" w:themeColor="text1"/>
          <w:szCs w:val="20"/>
        </w:rPr>
        <w:t xml:space="preserve">posterior verificação de sua conformidade com as especificações constantes neste Termo de Referência e na proposta. </w:t>
      </w:r>
    </w:p>
    <w:p w:rsidR="00846BBE" w:rsidRDefault="00801641" w:rsidP="00DC6652">
      <w:pPr>
        <w:numPr>
          <w:ilvl w:val="1"/>
          <w:numId w:val="38"/>
        </w:numPr>
        <w:spacing w:before="120" w:after="120" w:line="276" w:lineRule="auto"/>
        <w:jc w:val="both"/>
        <w:rPr>
          <w:rFonts w:cs="Arial"/>
          <w:color w:val="000000" w:themeColor="text1"/>
          <w:szCs w:val="20"/>
        </w:rPr>
      </w:pPr>
      <w:r w:rsidRPr="00452F56">
        <w:rPr>
          <w:rFonts w:cs="Arial"/>
          <w:color w:val="000000" w:themeColor="text1"/>
          <w:szCs w:val="20"/>
        </w:rPr>
        <w:t xml:space="preserve">Os serviços poderão ser rejeitados, no todo ou em parte, quando em desacordo com as especificações constantes neste Termo de Referência e na proposta, devendo ser corrigidos/refeitos/substituídos no prazo fixado pelo fiscal do contrato, </w:t>
      </w:r>
      <w:proofErr w:type="gramStart"/>
      <w:r w:rsidRPr="00452F56">
        <w:rPr>
          <w:rFonts w:cs="Arial"/>
          <w:color w:val="000000" w:themeColor="text1"/>
          <w:szCs w:val="20"/>
        </w:rPr>
        <w:t>às expensas da</w:t>
      </w:r>
      <w:proofErr w:type="gramEnd"/>
      <w:r w:rsidRPr="00452F56">
        <w:rPr>
          <w:rFonts w:cs="Arial"/>
          <w:color w:val="000000" w:themeColor="text1"/>
          <w:szCs w:val="20"/>
        </w:rPr>
        <w:t xml:space="preserve"> Contratada, sem prejuízo da aplicação de penalidades</w:t>
      </w:r>
      <w:r w:rsidR="00846BBE" w:rsidRPr="00DC6652">
        <w:rPr>
          <w:rFonts w:cs="Arial"/>
          <w:color w:val="000000" w:themeColor="text1"/>
          <w:szCs w:val="20"/>
        </w:rPr>
        <w:t>.</w:t>
      </w:r>
    </w:p>
    <w:p w:rsidR="00801641" w:rsidRPr="00452F56" w:rsidRDefault="00801641" w:rsidP="00452F56">
      <w:pPr>
        <w:numPr>
          <w:ilvl w:val="2"/>
          <w:numId w:val="38"/>
        </w:numPr>
        <w:spacing w:before="120" w:after="120" w:line="276" w:lineRule="auto"/>
        <w:jc w:val="both"/>
        <w:rPr>
          <w:rFonts w:cs="Arial"/>
          <w:color w:val="000000" w:themeColor="text1"/>
          <w:szCs w:val="20"/>
        </w:rPr>
      </w:pPr>
      <w:r w:rsidRPr="00452F56">
        <w:rPr>
          <w:rFonts w:cs="Arial"/>
          <w:color w:val="000000" w:themeColor="text1"/>
          <w:szCs w:val="20"/>
        </w:rPr>
        <w:t xml:space="preserve">Os serviços serão recebidos definitivamente no prazo </w:t>
      </w:r>
      <w:r w:rsidRPr="0050489B">
        <w:rPr>
          <w:rFonts w:cs="Arial"/>
          <w:szCs w:val="20"/>
        </w:rPr>
        <w:t xml:space="preserve">de </w:t>
      </w:r>
      <w:r w:rsidR="00920DFB" w:rsidRPr="0050489B">
        <w:rPr>
          <w:rFonts w:cs="Arial"/>
          <w:szCs w:val="20"/>
        </w:rPr>
        <w:t xml:space="preserve">sessenta </w:t>
      </w:r>
      <w:r w:rsidRPr="0050489B">
        <w:rPr>
          <w:rFonts w:cs="Arial"/>
          <w:szCs w:val="20"/>
        </w:rPr>
        <w:t>(</w:t>
      </w:r>
      <w:r w:rsidR="00920DFB" w:rsidRPr="0050489B">
        <w:rPr>
          <w:rFonts w:cs="Arial"/>
          <w:szCs w:val="20"/>
        </w:rPr>
        <w:t>60</w:t>
      </w:r>
      <w:r w:rsidRPr="0050489B">
        <w:rPr>
          <w:rFonts w:cs="Arial"/>
          <w:szCs w:val="20"/>
        </w:rPr>
        <w:t xml:space="preserve">) dias, </w:t>
      </w:r>
      <w:r w:rsidRPr="00452F56">
        <w:rPr>
          <w:rFonts w:cs="Arial"/>
          <w:color w:val="000000" w:themeColor="text1"/>
          <w:szCs w:val="20"/>
        </w:rPr>
        <w:t>contados do recebimento provisório, após a verificação da qualidade e quantidade do serviço executado e materiais empregados, com a consequente aceitação mediante termo circunstanciado.</w:t>
      </w:r>
    </w:p>
    <w:p w:rsidR="00801641" w:rsidRPr="00452F56" w:rsidRDefault="00801641" w:rsidP="00452F56">
      <w:pPr>
        <w:pStyle w:val="PargrafodaLista"/>
        <w:numPr>
          <w:ilvl w:val="3"/>
          <w:numId w:val="1"/>
        </w:numPr>
        <w:spacing w:before="120" w:after="120" w:line="276" w:lineRule="auto"/>
        <w:contextualSpacing w:val="0"/>
        <w:jc w:val="both"/>
        <w:rPr>
          <w:rFonts w:cs="Arial"/>
          <w:color w:val="000000" w:themeColor="text1"/>
          <w:szCs w:val="20"/>
        </w:rPr>
      </w:pPr>
      <w:r w:rsidRPr="00452F56">
        <w:rPr>
          <w:rFonts w:cs="Arial"/>
          <w:color w:val="000000" w:themeColor="text1"/>
          <w:szCs w:val="20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801641" w:rsidRDefault="00801641" w:rsidP="00801641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color w:val="000000" w:themeColor="text1"/>
          <w:szCs w:val="20"/>
        </w:rPr>
      </w:pPr>
      <w:r w:rsidRPr="00452F56">
        <w:rPr>
          <w:rFonts w:cs="Arial"/>
          <w:color w:val="000000" w:themeColor="text1"/>
          <w:szCs w:val="20"/>
        </w:rPr>
        <w:t>O recebimento provisório ou definitivo do objeto não exclui a responsabilidade da Contratada pelos prejuízos resultantes da incorreta execução do contrato.</w:t>
      </w:r>
    </w:p>
    <w:p w:rsidR="00C833CA" w:rsidRPr="00452F56" w:rsidRDefault="00C833CA" w:rsidP="00C833CA">
      <w:pPr>
        <w:spacing w:before="120" w:after="120" w:line="276" w:lineRule="auto"/>
        <w:ind w:left="425"/>
        <w:jc w:val="both"/>
        <w:rPr>
          <w:rFonts w:cs="Arial"/>
          <w:color w:val="000000" w:themeColor="text1"/>
          <w:szCs w:val="20"/>
        </w:rPr>
      </w:pPr>
    </w:p>
    <w:p w:rsidR="00F80D1F" w:rsidRPr="0059185A" w:rsidRDefault="00920DFB" w:rsidP="008D3AD0">
      <w:pPr>
        <w:pStyle w:val="Nivel1"/>
        <w:ind w:left="-284" w:right="-285" w:firstLine="0"/>
        <w:rPr>
          <w:rFonts w:cs="Arial"/>
        </w:rPr>
      </w:pPr>
      <w:r>
        <w:rPr>
          <w:rFonts w:cs="Arial"/>
        </w:rPr>
        <w:t>D</w:t>
      </w:r>
      <w:r w:rsidR="00F80D1F" w:rsidRPr="0059185A">
        <w:rPr>
          <w:rFonts w:cs="Arial"/>
        </w:rPr>
        <w:t>O VALOR ESTIMADO PARA CONTRATAÇÃO</w:t>
      </w:r>
    </w:p>
    <w:p w:rsidR="00F80D1F" w:rsidRDefault="00F80D1F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>Conforme Mapa Comparativo de Preços</w:t>
      </w:r>
      <w:r w:rsidR="00595799" w:rsidRPr="0059185A">
        <w:rPr>
          <w:rFonts w:cs="Arial"/>
          <w:bCs/>
          <w:color w:val="000000"/>
          <w:szCs w:val="20"/>
        </w:rPr>
        <w:t xml:space="preserve"> elaborado pela ACGC</w:t>
      </w:r>
      <w:r w:rsidRPr="0059185A">
        <w:rPr>
          <w:rFonts w:cs="Arial"/>
          <w:bCs/>
          <w:color w:val="000000"/>
          <w:szCs w:val="20"/>
        </w:rPr>
        <w:t>.</w:t>
      </w:r>
    </w:p>
    <w:p w:rsidR="00C833CA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bCs/>
          <w:color w:val="000000"/>
          <w:szCs w:val="20"/>
        </w:rPr>
      </w:pPr>
    </w:p>
    <w:p w:rsidR="00F80D1F" w:rsidRPr="0059185A" w:rsidRDefault="00F80D1F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DO CRITÉRIO DE JULGAMENTO</w:t>
      </w:r>
    </w:p>
    <w:p w:rsidR="00F80D1F" w:rsidRPr="0059185A" w:rsidRDefault="00F80D1F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>Conformidade das especificações constantes na proposta com as previstas no presente documento.</w:t>
      </w:r>
    </w:p>
    <w:p w:rsidR="00F80D1F" w:rsidRPr="0059185A" w:rsidRDefault="00F80D1F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>Conformidade do preço proposto com o preço consignado na pesquisa de preços, que reflete valores decorrentes de consulta ao mercado.</w:t>
      </w:r>
    </w:p>
    <w:p w:rsidR="00F80D1F" w:rsidRPr="0059185A" w:rsidRDefault="00F80D1F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 xml:space="preserve">Para efeito de julgamento do certame, será considerada vencedora a proposta que apresentar </w:t>
      </w:r>
      <w:r w:rsidR="00D75138" w:rsidRPr="00A7435C">
        <w:rPr>
          <w:sz w:val="22"/>
          <w:szCs w:val="22"/>
        </w:rPr>
        <w:t xml:space="preserve">MENOR </w:t>
      </w:r>
      <w:r w:rsidR="00A36710" w:rsidRPr="00A7435C">
        <w:rPr>
          <w:sz w:val="22"/>
          <w:szCs w:val="22"/>
        </w:rPr>
        <w:t>PREÇO</w:t>
      </w:r>
      <w:r w:rsidR="00A36710">
        <w:rPr>
          <w:sz w:val="22"/>
          <w:szCs w:val="22"/>
        </w:rPr>
        <w:t xml:space="preserve">. </w:t>
      </w:r>
    </w:p>
    <w:p w:rsidR="00F80D1F" w:rsidRDefault="00F80D1F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>Serão desclassificadas as propostas que não atenderem o disposto no art. 48, inciso I e II da Lei n.º 8666/93.</w:t>
      </w:r>
    </w:p>
    <w:p w:rsidR="00C833CA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bCs/>
          <w:color w:val="000000"/>
          <w:szCs w:val="20"/>
        </w:rPr>
      </w:pPr>
    </w:p>
    <w:p w:rsidR="00A87B70" w:rsidRPr="0059185A" w:rsidRDefault="00A87B70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DA QUALIFICAÇÃO TÉCNICA</w:t>
      </w:r>
    </w:p>
    <w:p w:rsidR="00891E13" w:rsidRPr="0059185A" w:rsidRDefault="00891E13" w:rsidP="00613864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iCs/>
          <w:color w:val="000000"/>
          <w:szCs w:val="20"/>
        </w:rPr>
      </w:pPr>
      <w:r w:rsidRPr="0059185A">
        <w:rPr>
          <w:rFonts w:cs="Arial"/>
          <w:bCs/>
          <w:iCs/>
          <w:color w:val="000000"/>
          <w:szCs w:val="20"/>
        </w:rPr>
        <w:t>As empres</w:t>
      </w:r>
      <w:r w:rsidR="004B5DB8" w:rsidRPr="0059185A">
        <w:rPr>
          <w:rFonts w:cs="Arial"/>
          <w:bCs/>
          <w:iCs/>
          <w:color w:val="000000"/>
          <w:szCs w:val="20"/>
        </w:rPr>
        <w:t>as</w:t>
      </w:r>
      <w:r w:rsidR="00613864" w:rsidRPr="0059185A">
        <w:rPr>
          <w:rFonts w:cs="Arial"/>
          <w:bCs/>
          <w:iCs/>
          <w:color w:val="000000"/>
          <w:szCs w:val="20"/>
        </w:rPr>
        <w:t xml:space="preserve"> deverão</w:t>
      </w:r>
      <w:r w:rsidR="00503073" w:rsidRPr="0059185A">
        <w:rPr>
          <w:rFonts w:cs="Arial"/>
          <w:bCs/>
          <w:iCs/>
          <w:color w:val="000000"/>
          <w:szCs w:val="20"/>
        </w:rPr>
        <w:t xml:space="preserve"> comprovar</w:t>
      </w:r>
      <w:r w:rsidRPr="0059185A">
        <w:rPr>
          <w:rFonts w:cs="Arial"/>
          <w:bCs/>
          <w:iCs/>
          <w:color w:val="000000"/>
          <w:szCs w:val="20"/>
        </w:rPr>
        <w:t xml:space="preserve"> a qualificação técnica, por meio de:</w:t>
      </w:r>
    </w:p>
    <w:p w:rsidR="00891E13" w:rsidRDefault="00613864" w:rsidP="00613864">
      <w:pPr>
        <w:pStyle w:val="PargrafodaLista"/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613864">
        <w:rPr>
          <w:rFonts w:cs="Arial"/>
          <w:szCs w:val="20"/>
        </w:rPr>
        <w:t xml:space="preserve">As empresas </w:t>
      </w:r>
      <w:r w:rsidR="00D076B0">
        <w:rPr>
          <w:rFonts w:cs="Arial"/>
          <w:szCs w:val="20"/>
        </w:rPr>
        <w:t>CONTRATADA</w:t>
      </w:r>
      <w:r w:rsidRPr="00613864">
        <w:rPr>
          <w:rFonts w:cs="Arial"/>
          <w:szCs w:val="20"/>
        </w:rPr>
        <w:t>S deverão apresentar em fase de classificação de propostas, licença, autorização ou permissão em vigor expedida pela ANATEL (Agência Nacional de Telecomunicações) para explorar serviços de Telecomunicações.</w:t>
      </w:r>
    </w:p>
    <w:p w:rsidR="00613864" w:rsidRPr="00613864" w:rsidRDefault="00613864" w:rsidP="00AC0E4C">
      <w:pPr>
        <w:pStyle w:val="PargrafodaLista"/>
        <w:numPr>
          <w:ilvl w:val="2"/>
          <w:numId w:val="1"/>
        </w:numPr>
        <w:tabs>
          <w:tab w:val="left" w:pos="1440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613864">
        <w:rPr>
          <w:rFonts w:cs="Arial"/>
          <w:szCs w:val="20"/>
        </w:rPr>
        <w:t xml:space="preserve">As empresas </w:t>
      </w:r>
      <w:r w:rsidR="00D076B0">
        <w:rPr>
          <w:rFonts w:cs="Arial"/>
          <w:szCs w:val="20"/>
        </w:rPr>
        <w:t>CONTRATADA</w:t>
      </w:r>
      <w:r w:rsidRPr="00613864">
        <w:rPr>
          <w:rFonts w:cs="Arial"/>
          <w:szCs w:val="20"/>
        </w:rPr>
        <w:t>S deverão apresentar em fase de habilitação, atestado(s) de capacidade técnica, fornecido por pessoa jurídica de direito público ou privado, que comprove ter fornecido serviços de disponibilização de Link/IP de fibra óptica para acesso à Internet, referenciadas nesse Termo de Referência.</w:t>
      </w:r>
    </w:p>
    <w:p w:rsidR="00891E13" w:rsidRPr="0059185A" w:rsidRDefault="00891E13" w:rsidP="00613864">
      <w:pPr>
        <w:numPr>
          <w:ilvl w:val="2"/>
          <w:numId w:val="1"/>
        </w:numPr>
        <w:tabs>
          <w:tab w:val="left" w:pos="567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Comprovação de aptidão para a prestação dos serviços em características, quantidades e prazos compatíveis com o objeto desta licitação, ou com o item pertinente, por período não inferior a </w:t>
      </w:r>
      <w:proofErr w:type="gramStart"/>
      <w:r w:rsidR="00F743FE" w:rsidRPr="0059185A">
        <w:rPr>
          <w:rFonts w:cs="Arial"/>
          <w:color w:val="000000"/>
          <w:szCs w:val="20"/>
        </w:rPr>
        <w:t>3</w:t>
      </w:r>
      <w:proofErr w:type="gramEnd"/>
      <w:r w:rsidR="00F743FE" w:rsidRPr="0059185A">
        <w:rPr>
          <w:rFonts w:cs="Arial"/>
          <w:color w:val="000000"/>
          <w:szCs w:val="20"/>
        </w:rPr>
        <w:t xml:space="preserve"> (</w:t>
      </w:r>
      <w:r w:rsidRPr="0059185A">
        <w:rPr>
          <w:rFonts w:cs="Arial"/>
          <w:color w:val="000000"/>
          <w:szCs w:val="20"/>
        </w:rPr>
        <w:t>três</w:t>
      </w:r>
      <w:r w:rsidR="00F743FE" w:rsidRPr="0059185A">
        <w:rPr>
          <w:rFonts w:cs="Arial"/>
          <w:color w:val="000000"/>
          <w:szCs w:val="20"/>
        </w:rPr>
        <w:t>)</w:t>
      </w:r>
      <w:r w:rsidRPr="0059185A">
        <w:rPr>
          <w:rFonts w:cs="Arial"/>
          <w:color w:val="000000"/>
          <w:szCs w:val="20"/>
        </w:rPr>
        <w:t xml:space="preserve"> anos, mediante a apresentação de atestados fornecidos por pessoas jurídicas de direito público ou privado.</w:t>
      </w:r>
    </w:p>
    <w:p w:rsidR="00891E13" w:rsidRPr="0059185A" w:rsidRDefault="00891E13" w:rsidP="008D3AD0">
      <w:pPr>
        <w:numPr>
          <w:ilvl w:val="3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Os atestados referir-se-ão a contratos já concluídos ou já decorrido no mínimo um ano do início de sua execução, exceto se houver sido firmado para ser executado em prazo inferior, apenas aceito mediante a apresentação do contrato.</w:t>
      </w:r>
    </w:p>
    <w:p w:rsidR="00891E13" w:rsidRPr="0059185A" w:rsidRDefault="00891E13" w:rsidP="008D3AD0">
      <w:pPr>
        <w:pStyle w:val="PargrafodaLista"/>
        <w:numPr>
          <w:ilvl w:val="3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color w:val="000000"/>
          <w:szCs w:val="20"/>
        </w:rPr>
      </w:pPr>
      <w:r w:rsidRPr="0059185A">
        <w:rPr>
          <w:rFonts w:cs="Arial"/>
          <w:bCs/>
          <w:color w:val="000000"/>
          <w:szCs w:val="20"/>
        </w:rPr>
        <w:t>Os atestados deverão referir-se a serviços prestados no âmbito de sua atividade econômica principal ou secundária especificadas no contrato social vigente;</w:t>
      </w:r>
    </w:p>
    <w:p w:rsidR="00A87B70" w:rsidRPr="005A6540" w:rsidRDefault="00891E13" w:rsidP="008D3AD0">
      <w:pPr>
        <w:numPr>
          <w:ilvl w:val="3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</w:rPr>
      </w:pPr>
      <w:proofErr w:type="gramStart"/>
      <w:r w:rsidRPr="00AC0E4C">
        <w:rPr>
          <w:rFonts w:cs="Arial"/>
          <w:bCs/>
          <w:color w:val="000000"/>
          <w:szCs w:val="20"/>
        </w:rPr>
        <w:t xml:space="preserve">O </w:t>
      </w:r>
      <w:r w:rsidR="00D076B0">
        <w:rPr>
          <w:rFonts w:cs="Arial"/>
          <w:bCs/>
          <w:color w:val="000000"/>
          <w:szCs w:val="20"/>
        </w:rPr>
        <w:t>contratada</w:t>
      </w:r>
      <w:proofErr w:type="gramEnd"/>
      <w:r w:rsidRPr="00AC0E4C">
        <w:rPr>
          <w:rFonts w:cs="Arial"/>
          <w:bCs/>
          <w:color w:val="000000"/>
          <w:szCs w:val="20"/>
        </w:rPr>
        <w:t xml:space="preserve"> disponibilizará todas as informações necessárias à comprovação da legitimidade dos atestados apresentados, apresentando, dentre outros documentos, cópia do contrato que deu suporte à contratação, endereço atual da contratante e local em que foram prestados os serviços.</w:t>
      </w:r>
    </w:p>
    <w:p w:rsidR="00F72333" w:rsidRDefault="00F72333" w:rsidP="008D3AD0">
      <w:pPr>
        <w:numPr>
          <w:ilvl w:val="3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</w:rPr>
      </w:pPr>
      <w:r>
        <w:rPr>
          <w:rFonts w:cs="Arial"/>
        </w:rPr>
        <w:t xml:space="preserve">Para a comprovação da experiência mínima de </w:t>
      </w:r>
      <w:proofErr w:type="gramStart"/>
      <w:r>
        <w:rPr>
          <w:rFonts w:cs="Arial"/>
        </w:rPr>
        <w:t>3</w:t>
      </w:r>
      <w:proofErr w:type="gramEnd"/>
      <w:r>
        <w:rPr>
          <w:rFonts w:cs="Arial"/>
        </w:rPr>
        <w:t xml:space="preserve"> (três) anos, será aceito o somatório de atestados de períodos diferentes.</w:t>
      </w:r>
    </w:p>
    <w:p w:rsidR="00C833CA" w:rsidRPr="00AC0E4C" w:rsidRDefault="00C833CA" w:rsidP="00C833CA">
      <w:pPr>
        <w:spacing w:before="120" w:after="120" w:line="276" w:lineRule="auto"/>
        <w:ind w:left="-284" w:right="-285"/>
        <w:jc w:val="both"/>
        <w:rPr>
          <w:rFonts w:cs="Arial"/>
        </w:rPr>
      </w:pPr>
    </w:p>
    <w:p w:rsidR="00F80D1F" w:rsidRPr="0059185A" w:rsidRDefault="00F80D1F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DO PRAZO DE VIGÊNCIA</w:t>
      </w:r>
    </w:p>
    <w:p w:rsidR="00F72333" w:rsidRPr="00F72333" w:rsidRDefault="00F72333" w:rsidP="00DA42A9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iCs/>
          <w:color w:val="000000"/>
          <w:szCs w:val="20"/>
        </w:rPr>
      </w:pPr>
      <w:r w:rsidRPr="00F72333">
        <w:rPr>
          <w:rFonts w:cs="Arial"/>
          <w:bCs/>
          <w:iCs/>
          <w:color w:val="000000"/>
          <w:szCs w:val="20"/>
        </w:rPr>
        <w:t xml:space="preserve"> O prazo de vigência do Termo de Contrato é de 12 (doze) meses, contados da data de</w:t>
      </w:r>
      <w:r w:rsidRPr="00F72333">
        <w:rPr>
          <w:rFonts w:cs="Arial"/>
          <w:color w:val="000000"/>
          <w:szCs w:val="20"/>
        </w:rPr>
        <w:t xml:space="preserve"> assinatura do instrumento, podendo ser prorrogado por interesse das partes até o limite de 60 (sessenta) meses, </w:t>
      </w:r>
      <w:r>
        <w:rPr>
          <w:rFonts w:cs="Arial"/>
          <w:color w:val="000000"/>
          <w:szCs w:val="20"/>
        </w:rPr>
        <w:t>desde que haja autorização formal da autoridade competente e observados os seguintes requisitos:</w:t>
      </w:r>
    </w:p>
    <w:p w:rsidR="00F72333" w:rsidRPr="00F72333" w:rsidRDefault="00F72333" w:rsidP="005A6540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Arial"/>
          <w:bCs/>
          <w:iCs/>
          <w:color w:val="000000"/>
          <w:szCs w:val="20"/>
        </w:rPr>
      </w:pPr>
      <w:r>
        <w:rPr>
          <w:rFonts w:cs="Arial"/>
          <w:color w:val="000000"/>
          <w:szCs w:val="20"/>
        </w:rPr>
        <w:t>Os serviços tenham sido prestados regularmente</w:t>
      </w:r>
    </w:p>
    <w:p w:rsidR="00F72333" w:rsidRPr="00F72333" w:rsidRDefault="00F72333" w:rsidP="005A6540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Arial"/>
          <w:bCs/>
          <w:iCs/>
          <w:color w:val="000000"/>
          <w:szCs w:val="20"/>
        </w:rPr>
      </w:pPr>
      <w:r>
        <w:rPr>
          <w:rFonts w:cs="Arial"/>
          <w:color w:val="000000"/>
          <w:szCs w:val="20"/>
        </w:rPr>
        <w:t>A Administração mantenha interesse na realização do serviço</w:t>
      </w:r>
    </w:p>
    <w:p w:rsidR="00F72333" w:rsidRPr="00F72333" w:rsidRDefault="00F72333" w:rsidP="005A6540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Arial"/>
          <w:bCs/>
          <w:iCs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O valor do contrato permaneça economicamente vantajoso para a Administração; </w:t>
      </w:r>
      <w:proofErr w:type="gramStart"/>
      <w:r>
        <w:rPr>
          <w:rFonts w:cs="Arial"/>
          <w:color w:val="000000"/>
          <w:szCs w:val="20"/>
        </w:rPr>
        <w:t>e</w:t>
      </w:r>
      <w:proofErr w:type="gramEnd"/>
    </w:p>
    <w:p w:rsidR="00F72333" w:rsidRDefault="00F72333" w:rsidP="005A6540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Arial"/>
          <w:bCs/>
          <w:iCs/>
          <w:color w:val="000000"/>
          <w:szCs w:val="20"/>
        </w:rPr>
      </w:pPr>
      <w:r>
        <w:rPr>
          <w:rFonts w:cs="Arial"/>
          <w:bCs/>
          <w:iCs/>
          <w:color w:val="000000"/>
          <w:szCs w:val="20"/>
        </w:rPr>
        <w:t>A contratada manifeste expressamente interesse na prorrogação</w:t>
      </w:r>
    </w:p>
    <w:p w:rsidR="00F72333" w:rsidRPr="00F72333" w:rsidRDefault="00F72333" w:rsidP="005A6540">
      <w:pPr>
        <w:numPr>
          <w:ilvl w:val="2"/>
          <w:numId w:val="1"/>
        </w:numPr>
        <w:spacing w:before="120" w:after="120" w:line="276" w:lineRule="auto"/>
        <w:ind w:right="-285"/>
        <w:jc w:val="both"/>
        <w:rPr>
          <w:rFonts w:cs="Arial"/>
          <w:bCs/>
          <w:iCs/>
          <w:color w:val="000000"/>
          <w:szCs w:val="20"/>
        </w:rPr>
      </w:pPr>
      <w:r>
        <w:rPr>
          <w:rFonts w:cs="Arial"/>
          <w:bCs/>
          <w:iCs/>
          <w:color w:val="000000"/>
          <w:szCs w:val="20"/>
        </w:rPr>
        <w:t>A CONTRATADA não tem direito subjetivo à prorrogação contratual</w:t>
      </w:r>
    </w:p>
    <w:p w:rsidR="00F72333" w:rsidRPr="00C833CA" w:rsidRDefault="00F72333" w:rsidP="00F72333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iCs/>
          <w:color w:val="000000"/>
          <w:szCs w:val="20"/>
        </w:rPr>
      </w:pPr>
      <w:r w:rsidRPr="00F72333">
        <w:rPr>
          <w:rFonts w:cs="Arial"/>
          <w:color w:val="000000"/>
          <w:szCs w:val="20"/>
        </w:rPr>
        <w:t>A prorrogação de contrato deverá ser promovida mediante a celebração de termo aditivo</w:t>
      </w:r>
    </w:p>
    <w:p w:rsidR="00C833CA" w:rsidRPr="00E71993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bCs/>
          <w:iCs/>
          <w:color w:val="000000"/>
          <w:szCs w:val="20"/>
        </w:rPr>
      </w:pPr>
    </w:p>
    <w:p w:rsidR="00956359" w:rsidRPr="0059185A" w:rsidRDefault="00956359" w:rsidP="008D3AD0">
      <w:pPr>
        <w:pStyle w:val="Nivel1"/>
        <w:spacing w:after="0"/>
        <w:ind w:left="-284" w:right="-285" w:firstLine="0"/>
        <w:rPr>
          <w:rFonts w:cs="Arial"/>
          <w:b w:val="0"/>
        </w:rPr>
      </w:pPr>
      <w:r w:rsidRPr="0059185A">
        <w:rPr>
          <w:rFonts w:cs="Arial"/>
        </w:rPr>
        <w:t>DO PAGAMENTO</w:t>
      </w:r>
    </w:p>
    <w:p w:rsidR="0050489B" w:rsidRPr="00470F05" w:rsidRDefault="0050489B" w:rsidP="00C833CA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lang w:eastAsia="en-US"/>
        </w:rPr>
      </w:pPr>
      <w:r w:rsidRPr="00C833CA">
        <w:rPr>
          <w:rFonts w:cs="Arial"/>
          <w:color w:val="000000"/>
          <w:szCs w:val="20"/>
          <w:lang w:eastAsia="en-US"/>
        </w:rPr>
        <w:t>O pagamento será realizado mensalmente, tomando como base os valores definidos na Planilha de Composição de Preços</w:t>
      </w:r>
      <w:r w:rsidR="00470F05">
        <w:rPr>
          <w:rFonts w:cs="Arial"/>
          <w:color w:val="000000"/>
          <w:szCs w:val="20"/>
          <w:lang w:eastAsia="en-US"/>
        </w:rPr>
        <w:t>, ou seja, a soma dos itens fixos e dos itens variáveis.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 pagamento será efetuado pela Contratante no prazo de</w:t>
      </w:r>
      <w:r w:rsidR="00D75138">
        <w:rPr>
          <w:rFonts w:cs="Arial"/>
          <w:color w:val="000000"/>
          <w:szCs w:val="20"/>
          <w:lang w:eastAsia="en-US"/>
        </w:rPr>
        <w:t xml:space="preserve"> 05</w:t>
      </w:r>
      <w:r w:rsidRPr="0059185A">
        <w:rPr>
          <w:rFonts w:cs="Arial"/>
          <w:color w:val="FF0000"/>
          <w:szCs w:val="20"/>
          <w:lang w:eastAsia="en-US"/>
        </w:rPr>
        <w:t xml:space="preserve"> </w:t>
      </w:r>
      <w:r w:rsidR="00D75138" w:rsidRPr="00D75138">
        <w:rPr>
          <w:rFonts w:cs="Arial"/>
          <w:szCs w:val="20"/>
          <w:lang w:eastAsia="en-US"/>
        </w:rPr>
        <w:t>(</w:t>
      </w:r>
      <w:r w:rsidR="00D75138">
        <w:rPr>
          <w:rFonts w:cs="Arial"/>
          <w:szCs w:val="20"/>
          <w:lang w:eastAsia="en-US"/>
        </w:rPr>
        <w:t>cinco</w:t>
      </w:r>
      <w:r w:rsidR="00D75138" w:rsidRPr="00D75138">
        <w:rPr>
          <w:rFonts w:cs="Arial"/>
          <w:szCs w:val="20"/>
          <w:lang w:eastAsia="en-US"/>
        </w:rPr>
        <w:t>)</w:t>
      </w:r>
      <w:r w:rsidRPr="0059185A">
        <w:rPr>
          <w:rFonts w:cs="Arial"/>
          <w:color w:val="000000"/>
          <w:szCs w:val="20"/>
          <w:lang w:eastAsia="en-US"/>
        </w:rPr>
        <w:t xml:space="preserve"> dias, contados</w:t>
      </w:r>
      <w:r w:rsidRPr="0059185A">
        <w:rPr>
          <w:rFonts w:cs="Arial"/>
          <w:color w:val="000000"/>
          <w:szCs w:val="20"/>
        </w:rPr>
        <w:t xml:space="preserve"> da apresentação da Nota Fiscal/Fatura contendo </w:t>
      </w:r>
      <w:r w:rsidRPr="0059185A">
        <w:rPr>
          <w:rFonts w:cs="Arial"/>
          <w:color w:val="000000"/>
          <w:szCs w:val="20"/>
          <w:lang w:eastAsia="en-US"/>
        </w:rPr>
        <w:t xml:space="preserve">o detalhamento dos serviços executados, através de ordem bancária, para crédito em banco, agência e conta </w:t>
      </w:r>
      <w:r w:rsidR="00470F05" w:rsidRPr="0059185A">
        <w:rPr>
          <w:rFonts w:cs="Arial"/>
          <w:color w:val="000000"/>
          <w:szCs w:val="20"/>
          <w:lang w:eastAsia="en-US"/>
        </w:rPr>
        <w:t>corrente indicado pelo contratado</w:t>
      </w:r>
      <w:r w:rsidRPr="0059185A">
        <w:rPr>
          <w:rFonts w:cs="Arial"/>
          <w:color w:val="000000"/>
          <w:szCs w:val="20"/>
          <w:lang w:eastAsia="en-US"/>
        </w:rPr>
        <w:t>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szCs w:val="20"/>
          <w:lang w:eastAsia="en-US"/>
        </w:rPr>
        <w:t xml:space="preserve">Os pagamentos decorrentes de despesas cujos valores não ultrapassem o limite </w:t>
      </w:r>
      <w:r w:rsidRPr="0059185A">
        <w:rPr>
          <w:rFonts w:cs="Arial"/>
          <w:szCs w:val="20"/>
        </w:rPr>
        <w:t>de que trata o inciso II do art. 24</w:t>
      </w:r>
      <w:r w:rsidRPr="0059185A">
        <w:rPr>
          <w:rFonts w:cs="Arial"/>
          <w:szCs w:val="20"/>
          <w:lang w:eastAsia="en-US"/>
        </w:rPr>
        <w:t xml:space="preserve"> da Lei 8.666, de 1993, deverão ser efetuados no prazo de até </w:t>
      </w:r>
      <w:proofErr w:type="gramStart"/>
      <w:r w:rsidRPr="0059185A">
        <w:rPr>
          <w:rFonts w:cs="Arial"/>
          <w:szCs w:val="20"/>
          <w:lang w:eastAsia="en-US"/>
        </w:rPr>
        <w:t>5</w:t>
      </w:r>
      <w:proofErr w:type="gramEnd"/>
      <w:r w:rsidRPr="0059185A">
        <w:rPr>
          <w:rFonts w:cs="Arial"/>
          <w:szCs w:val="20"/>
          <w:lang w:eastAsia="en-US"/>
        </w:rPr>
        <w:t xml:space="preserve"> (cinco) dias úteis, contados da data da apresentação da Nota Fiscal/Fatura, nos termos do art. 5º, § 3º, da Lei nº 8.666, de 1993</w:t>
      </w:r>
      <w:r w:rsidRPr="0059185A">
        <w:rPr>
          <w:rFonts w:cs="Arial"/>
          <w:color w:val="000000"/>
          <w:szCs w:val="20"/>
          <w:lang w:eastAsia="en-US"/>
        </w:rPr>
        <w:t>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  <w:lang w:eastAsia="en-US"/>
        </w:rPr>
      </w:pPr>
      <w:r w:rsidRPr="0059185A">
        <w:rPr>
          <w:rFonts w:cs="Arial"/>
          <w:szCs w:val="20"/>
          <w:lang w:eastAsia="en-US"/>
        </w:rPr>
        <w:t>Para fins de pagamento, a CONTRATADA deverá apresentar, juntamente com a Nota Fiscal/Fatura, os seguintes documentos:</w:t>
      </w:r>
    </w:p>
    <w:p w:rsidR="00A36710" w:rsidRDefault="00160279" w:rsidP="00C833CA">
      <w:pPr>
        <w:pStyle w:val="PargrafodaLista"/>
        <w:numPr>
          <w:ilvl w:val="0"/>
          <w:numId w:val="28"/>
        </w:numPr>
        <w:tabs>
          <w:tab w:val="left" w:pos="-142"/>
          <w:tab w:val="left" w:pos="0"/>
        </w:tabs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A36710">
        <w:rPr>
          <w:rFonts w:cs="Arial"/>
          <w:szCs w:val="20"/>
        </w:rPr>
        <w:t>Certificado de Regularidade com o Fundo de Garantia por Tempo de Serviço – FGTS;</w:t>
      </w:r>
    </w:p>
    <w:p w:rsidR="00160279" w:rsidRPr="00C833CA" w:rsidRDefault="00160279" w:rsidP="00C833CA">
      <w:pPr>
        <w:pStyle w:val="PargrafodaLista"/>
        <w:numPr>
          <w:ilvl w:val="0"/>
          <w:numId w:val="28"/>
        </w:numPr>
        <w:tabs>
          <w:tab w:val="left" w:pos="-142"/>
          <w:tab w:val="left" w:pos="0"/>
        </w:tabs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470F05">
        <w:rPr>
          <w:rFonts w:cs="Arial"/>
          <w:szCs w:val="20"/>
        </w:rPr>
        <w:t xml:space="preserve">Certidão Conjunta de Regularidade </w:t>
      </w:r>
      <w:r w:rsidRPr="00C833CA">
        <w:rPr>
          <w:rFonts w:cs="Arial"/>
          <w:szCs w:val="20"/>
        </w:rPr>
        <w:t>com a Fazenda Federal (Quitação de Tributos e Contribuições Federais e Dívida Ativa da União da Fazenda Federal);</w:t>
      </w:r>
    </w:p>
    <w:p w:rsidR="00160279" w:rsidRPr="0059185A" w:rsidRDefault="00160279" w:rsidP="008D3AD0">
      <w:pPr>
        <w:pStyle w:val="PargrafodaLista"/>
        <w:numPr>
          <w:ilvl w:val="0"/>
          <w:numId w:val="28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59185A">
        <w:rPr>
          <w:rFonts w:cs="Arial"/>
          <w:szCs w:val="20"/>
        </w:rPr>
        <w:t>Certidão Negativa de tributos Estaduais e Municipais, emitida pelos respectivos órgãos (se for o caso);</w:t>
      </w:r>
    </w:p>
    <w:p w:rsidR="00160279" w:rsidRPr="0059185A" w:rsidRDefault="00160279" w:rsidP="008D3AD0">
      <w:pPr>
        <w:pStyle w:val="PargrafodaLista"/>
        <w:numPr>
          <w:ilvl w:val="0"/>
          <w:numId w:val="28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59185A">
        <w:rPr>
          <w:rFonts w:cs="Arial"/>
          <w:szCs w:val="20"/>
        </w:rPr>
        <w:t>Certidão Negativa de Débitos Trabalhistas.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  <w:lang w:eastAsia="en-US"/>
        </w:rPr>
        <w:t xml:space="preserve">A apresentação da Nota Fiscal/Fatura deverá ocorrer no prazo de </w:t>
      </w:r>
      <w:r w:rsidR="00D75138">
        <w:rPr>
          <w:rFonts w:cs="Arial"/>
          <w:color w:val="000000"/>
          <w:szCs w:val="20"/>
          <w:lang w:eastAsia="en-US"/>
        </w:rPr>
        <w:t>05</w:t>
      </w:r>
      <w:r w:rsidRPr="0059185A">
        <w:rPr>
          <w:rFonts w:cs="Arial"/>
          <w:color w:val="FF0000"/>
          <w:szCs w:val="20"/>
          <w:lang w:eastAsia="en-US"/>
        </w:rPr>
        <w:t xml:space="preserve"> </w:t>
      </w:r>
      <w:r w:rsidRPr="00D75138">
        <w:rPr>
          <w:rFonts w:cs="Arial"/>
          <w:szCs w:val="20"/>
          <w:lang w:eastAsia="en-US"/>
        </w:rPr>
        <w:t>(</w:t>
      </w:r>
      <w:r w:rsidR="00D75138" w:rsidRPr="00D75138">
        <w:rPr>
          <w:rFonts w:cs="Arial"/>
          <w:szCs w:val="20"/>
          <w:lang w:eastAsia="en-US"/>
        </w:rPr>
        <w:t>cinco</w:t>
      </w:r>
      <w:r w:rsidRPr="00D75138">
        <w:rPr>
          <w:rFonts w:cs="Arial"/>
          <w:szCs w:val="20"/>
          <w:lang w:eastAsia="en-US"/>
        </w:rPr>
        <w:t>)</w:t>
      </w:r>
      <w:r w:rsidRPr="0059185A">
        <w:rPr>
          <w:rFonts w:cs="Arial"/>
          <w:color w:val="000000"/>
          <w:szCs w:val="20"/>
          <w:lang w:eastAsia="en-US"/>
        </w:rPr>
        <w:t xml:space="preserve"> dias, contado d</w:t>
      </w:r>
      <w:r w:rsidRPr="0059185A">
        <w:rPr>
          <w:rFonts w:cs="Arial"/>
          <w:color w:val="000000"/>
          <w:szCs w:val="20"/>
        </w:rPr>
        <w:t>a data final do período de adimplemento da parcela da contratação a que aquela se referir, devendo estar acompanhada dos documentos mencionados no §1º do art. 36 da IN/SLTI nº 02, de 2008.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O pagamento somente será autorizado depois de efetuado o “atesto” pelo </w:t>
      </w:r>
      <w:r w:rsidR="006C6837" w:rsidRPr="0059185A">
        <w:rPr>
          <w:rFonts w:cs="Arial"/>
          <w:color w:val="000000"/>
          <w:szCs w:val="20"/>
        </w:rPr>
        <w:t>empregado</w:t>
      </w:r>
      <w:r w:rsidRPr="0059185A">
        <w:rPr>
          <w:rFonts w:cs="Arial"/>
          <w:color w:val="000000"/>
          <w:szCs w:val="20"/>
        </w:rPr>
        <w:t xml:space="preserve"> competente, condicionado este ato à verificação da conformidade da Nota Fiscal/Fatura apresentada em relação aos serviços efetivamente prestados, devidamente acompanhada das comprovações mencionadas no §1º do art. 36, da IN/SLTI nº 02, de 2008.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Havendo erro na apresentação da Nota Fiscal/Fatura ou dos documentos pertinentes à contratação, ou ainda, circunstância que impeça a liquidação da despesa, como por exemplo, obrigação financeira pendente, decorrente de penalidade imposta ou inadimplência,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Quaisquer alterações nos dados bancários deverão ser comunicadas à CONTRATANTE, por meio de carta, ficando </w:t>
      </w:r>
      <w:proofErr w:type="gramStart"/>
      <w:r w:rsidRPr="0059185A">
        <w:rPr>
          <w:rFonts w:cs="Arial"/>
          <w:color w:val="000000"/>
          <w:szCs w:val="20"/>
          <w:lang w:eastAsia="en-US"/>
        </w:rPr>
        <w:t>sob inteira</w:t>
      </w:r>
      <w:proofErr w:type="gramEnd"/>
      <w:r w:rsidRPr="0059185A">
        <w:rPr>
          <w:rFonts w:cs="Arial"/>
          <w:color w:val="000000"/>
          <w:szCs w:val="20"/>
          <w:lang w:eastAsia="en-US"/>
        </w:rPr>
        <w:t xml:space="preserve"> responsabilidade da CONTRATADA os prejuízos decorrentes de pagamentos incorretos devido à falta de informação.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 CNPJ, que deverá constar nos documentos fiscais apresentados, deverá ser o mesmo CNPJ que a CONTRATADA utilizou no contrato.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Nos termos do artigo 36, § 6°, da Instrução Normativa SLTI/MPOG n° 02, de 2008, será efetuada a retenção ou glosa no pagamento, proporcional à irregularidade verificada, sem prejuízo das sanções cabíveis, caso se constate que a Contratada:</w:t>
      </w:r>
    </w:p>
    <w:p w:rsidR="00160279" w:rsidRPr="0059185A" w:rsidRDefault="00160279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 </w:t>
      </w:r>
      <w:proofErr w:type="gramStart"/>
      <w:r w:rsidRPr="0059185A">
        <w:rPr>
          <w:rFonts w:cs="Arial"/>
          <w:color w:val="000000"/>
          <w:szCs w:val="20"/>
        </w:rPr>
        <w:t>não</w:t>
      </w:r>
      <w:proofErr w:type="gramEnd"/>
      <w:r w:rsidRPr="0059185A">
        <w:rPr>
          <w:rFonts w:cs="Arial"/>
          <w:color w:val="000000"/>
          <w:szCs w:val="20"/>
        </w:rPr>
        <w:t xml:space="preserve"> produziu os resultados acordados;</w:t>
      </w:r>
    </w:p>
    <w:p w:rsidR="00160279" w:rsidRPr="0059185A" w:rsidRDefault="00160279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proofErr w:type="gramStart"/>
      <w:r w:rsidRPr="0059185A">
        <w:rPr>
          <w:rFonts w:cs="Arial"/>
          <w:color w:val="000000"/>
          <w:szCs w:val="20"/>
        </w:rPr>
        <w:t>deixou</w:t>
      </w:r>
      <w:proofErr w:type="gramEnd"/>
      <w:r w:rsidRPr="0059185A">
        <w:rPr>
          <w:rFonts w:cs="Arial"/>
          <w:color w:val="000000"/>
          <w:szCs w:val="20"/>
        </w:rPr>
        <w:t xml:space="preserve"> de executar as atividades contratadas, ou não as executou com a qualidade mínima exigida;</w:t>
      </w:r>
    </w:p>
    <w:p w:rsidR="00160279" w:rsidRPr="0059185A" w:rsidRDefault="00160279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proofErr w:type="gramStart"/>
      <w:r w:rsidRPr="0059185A">
        <w:rPr>
          <w:rFonts w:cs="Arial"/>
          <w:color w:val="000000"/>
          <w:szCs w:val="20"/>
        </w:rPr>
        <w:t>deixou</w:t>
      </w:r>
      <w:proofErr w:type="gramEnd"/>
      <w:r w:rsidRPr="0059185A">
        <w:rPr>
          <w:rFonts w:cs="Arial"/>
          <w:color w:val="000000"/>
          <w:szCs w:val="20"/>
        </w:rPr>
        <w:t xml:space="preserve"> de utilizar os materiais e recursos humanos exigidos para a execução do serviço, ou utilizou-os com qualidade ou quantidade inferior à demandada,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Será considerada data do pagamento o dia </w:t>
      </w:r>
      <w:r w:rsidRPr="0059185A">
        <w:rPr>
          <w:rFonts w:cs="Arial"/>
          <w:color w:val="000000"/>
          <w:szCs w:val="20"/>
          <w:lang w:eastAsia="en-US"/>
        </w:rPr>
        <w:t>em que constar como emitida a ordem bancária para pagamento.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Antes de cada pagamento à contratada, será realizada consulta ao SICAF para verificar a manutenção das condições de habilitação exigidas no edital.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Constatando-se, junto ao SICAF, a situação de irregularidade da contratada, será providenciada sua advertência, por escrito, para que, no prazo de </w:t>
      </w:r>
      <w:proofErr w:type="gramStart"/>
      <w:r w:rsidRPr="0059185A">
        <w:rPr>
          <w:rFonts w:cs="Arial"/>
          <w:color w:val="000000"/>
          <w:szCs w:val="20"/>
          <w:lang w:eastAsia="en-US"/>
        </w:rPr>
        <w:t>5</w:t>
      </w:r>
      <w:proofErr w:type="gramEnd"/>
      <w:r w:rsidRPr="0059185A">
        <w:rPr>
          <w:rFonts w:cs="Arial"/>
          <w:color w:val="000000"/>
          <w:szCs w:val="20"/>
          <w:lang w:eastAsia="en-US"/>
        </w:rPr>
        <w:t xml:space="preserve"> (cinco) dias, regularize sua situação ou, no mesmo prazo, apresente sua defesa. O prazo poderá ser prorrogado uma vez, por igual período, a critério da contratante.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SICAF. 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  <w:lang w:eastAsia="en-US"/>
        </w:rPr>
        <w:t xml:space="preserve">Somente por motivo de economicidade, segurança nacional ou outro interesse público de alta relevância, devidamente justificado, em qualquer caso, pela máxima autoridade da contratante, não será rescindido o contrato em execução com a contratada inadimplente no SICAF.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Quando do pagamento, será efetuada a retenção tributária prevista na legislação aplicável, em especial a prevista no artigo 31 da Lei 8.212, de 1993.</w:t>
      </w:r>
    </w:p>
    <w:p w:rsidR="00160279" w:rsidRPr="0059185A" w:rsidRDefault="00160279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A Contratada regularmente optante pelo Simples Nacional, exclusivamente </w:t>
      </w:r>
      <w:r w:rsidRPr="0059185A">
        <w:rPr>
          <w:rFonts w:cs="Arial"/>
          <w:szCs w:val="20"/>
          <w:lang w:eastAsia="en-US"/>
        </w:rPr>
        <w:t>para as atividades de prestação de serviços previstas no §5º-C, do artigo 18, da LC 123, de 2006</w:t>
      </w:r>
      <w:r w:rsidRPr="0059185A">
        <w:rPr>
          <w:rFonts w:cs="Arial"/>
          <w:color w:val="000000"/>
          <w:szCs w:val="20"/>
        </w:rPr>
        <w:t xml:space="preserve">, não sofrerá a retenção tributária quanto aos impostos e contribuições abrangidos por aquele regime, observando-se as exceções nele previstas. No entanto, o pagamento ficará condicionado à apresentação de comprovação, por meio de documento oficial, de que faz jus ao tratamento tributário favorecido previsto na referida Lei Complementar. </w:t>
      </w:r>
    </w:p>
    <w:p w:rsidR="00160279" w:rsidRPr="0059185A" w:rsidRDefault="0016027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:rsidR="00160279" w:rsidRPr="0059185A" w:rsidRDefault="00160279" w:rsidP="008D3AD0">
      <w:pPr>
        <w:ind w:left="-284" w:right="-285"/>
        <w:jc w:val="both"/>
        <w:rPr>
          <w:rFonts w:cs="Arial"/>
        </w:rPr>
      </w:pPr>
      <w:r w:rsidRPr="0059185A">
        <w:rPr>
          <w:rFonts w:cs="Arial"/>
        </w:rPr>
        <w:t>EM = I x N x VP, sendo:</w:t>
      </w:r>
    </w:p>
    <w:p w:rsidR="00160279" w:rsidRPr="0059185A" w:rsidRDefault="00160279" w:rsidP="008D3AD0">
      <w:pPr>
        <w:tabs>
          <w:tab w:val="left" w:pos="1701"/>
        </w:tabs>
        <w:spacing w:line="340" w:lineRule="exact"/>
        <w:ind w:left="-284" w:right="-285"/>
        <w:jc w:val="both"/>
        <w:rPr>
          <w:rFonts w:cs="Arial"/>
          <w:snapToGrid w:val="0"/>
          <w:color w:val="000000"/>
          <w:szCs w:val="20"/>
        </w:rPr>
      </w:pPr>
      <w:r w:rsidRPr="0059185A">
        <w:rPr>
          <w:rFonts w:cs="Arial"/>
          <w:snapToGrid w:val="0"/>
          <w:color w:val="000000"/>
          <w:szCs w:val="20"/>
        </w:rPr>
        <w:t>EM = Encargos moratórios;</w:t>
      </w:r>
    </w:p>
    <w:p w:rsidR="00160279" w:rsidRPr="0059185A" w:rsidRDefault="00160279" w:rsidP="008D3AD0">
      <w:pPr>
        <w:tabs>
          <w:tab w:val="left" w:pos="1701"/>
        </w:tabs>
        <w:spacing w:line="340" w:lineRule="exact"/>
        <w:ind w:left="-284" w:right="-285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 = Número de dias entre a data prevista para o pagamento e a do efetivo pagamento;</w:t>
      </w:r>
    </w:p>
    <w:p w:rsidR="00160279" w:rsidRPr="0059185A" w:rsidRDefault="00160279" w:rsidP="008D3AD0">
      <w:pPr>
        <w:tabs>
          <w:tab w:val="left" w:pos="1701"/>
        </w:tabs>
        <w:spacing w:line="340" w:lineRule="exact"/>
        <w:ind w:left="-284" w:right="-285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VP = Valor da parcela a ser paga.</w:t>
      </w:r>
    </w:p>
    <w:p w:rsidR="00160279" w:rsidRPr="0059185A" w:rsidRDefault="00160279" w:rsidP="008D3AD0">
      <w:pPr>
        <w:tabs>
          <w:tab w:val="left" w:pos="1701"/>
        </w:tabs>
        <w:spacing w:line="340" w:lineRule="exact"/>
        <w:ind w:left="-284" w:right="-285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snapToGrid w:val="0"/>
          <w:color w:val="000000"/>
          <w:szCs w:val="20"/>
        </w:rPr>
        <w:t xml:space="preserve">I = Índice de compensação financeira = </w:t>
      </w:r>
      <w:proofErr w:type="gramStart"/>
      <w:r w:rsidRPr="0059185A">
        <w:rPr>
          <w:rFonts w:cs="Arial"/>
          <w:color w:val="000000"/>
          <w:szCs w:val="20"/>
        </w:rPr>
        <w:t>0,00016438, assim apurado</w:t>
      </w:r>
      <w:proofErr w:type="gramEnd"/>
      <w:r w:rsidRPr="0059185A">
        <w:rPr>
          <w:rFonts w:cs="Arial"/>
          <w:color w:val="000000"/>
          <w:szCs w:val="20"/>
        </w:rPr>
        <w:t>:</w:t>
      </w:r>
    </w:p>
    <w:p w:rsidR="00317871" w:rsidRPr="0059185A" w:rsidRDefault="00317871" w:rsidP="008D3AD0">
      <w:pPr>
        <w:tabs>
          <w:tab w:val="left" w:pos="1701"/>
        </w:tabs>
        <w:spacing w:line="340" w:lineRule="exact"/>
        <w:ind w:left="-284" w:right="-285"/>
        <w:jc w:val="both"/>
        <w:rPr>
          <w:rFonts w:cs="Arial"/>
          <w:color w:val="000000"/>
          <w:szCs w:val="20"/>
        </w:rPr>
      </w:pP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4"/>
        <w:gridCol w:w="564"/>
        <w:gridCol w:w="1209"/>
        <w:gridCol w:w="4458"/>
      </w:tblGrid>
      <w:tr w:rsidR="00317871" w:rsidRPr="0059185A" w:rsidTr="00A8287D">
        <w:tc>
          <w:tcPr>
            <w:tcW w:w="2214" w:type="dxa"/>
            <w:vAlign w:val="center"/>
          </w:tcPr>
          <w:p w:rsidR="00317871" w:rsidRPr="0059185A" w:rsidRDefault="00317871" w:rsidP="00A8287D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9185A">
              <w:rPr>
                <w:rFonts w:cs="Arial"/>
                <w:color w:val="000000"/>
                <w:szCs w:val="20"/>
              </w:rPr>
              <w:t>I = (TX)</w:t>
            </w:r>
          </w:p>
        </w:tc>
        <w:tc>
          <w:tcPr>
            <w:tcW w:w="588" w:type="dxa"/>
            <w:vAlign w:val="center"/>
          </w:tcPr>
          <w:p w:rsidR="00317871" w:rsidRPr="0059185A" w:rsidRDefault="00317871" w:rsidP="00A8287D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59185A">
              <w:rPr>
                <w:rFonts w:cs="Arial"/>
                <w:color w:val="000000"/>
                <w:szCs w:val="20"/>
              </w:rPr>
              <w:t xml:space="preserve">I =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7871" w:rsidRPr="0059185A" w:rsidRDefault="00317871" w:rsidP="00A8287D">
            <w:pPr>
              <w:tabs>
                <w:tab w:val="left" w:pos="1701"/>
              </w:tabs>
              <w:jc w:val="center"/>
              <w:rPr>
                <w:rFonts w:cs="Arial"/>
                <w:color w:val="000000"/>
                <w:szCs w:val="20"/>
              </w:rPr>
            </w:pPr>
            <w:proofErr w:type="gramStart"/>
            <w:r w:rsidRPr="0059185A">
              <w:rPr>
                <w:rFonts w:cs="Arial"/>
                <w:color w:val="000000"/>
                <w:szCs w:val="20"/>
              </w:rPr>
              <w:t xml:space="preserve">( </w:t>
            </w:r>
            <w:proofErr w:type="gramEnd"/>
            <w:r w:rsidRPr="0059185A">
              <w:rPr>
                <w:rFonts w:cs="Arial"/>
                <w:color w:val="000000"/>
                <w:szCs w:val="20"/>
              </w:rPr>
              <w:t>6 / 100 )</w:t>
            </w:r>
          </w:p>
        </w:tc>
        <w:tc>
          <w:tcPr>
            <w:tcW w:w="4784" w:type="dxa"/>
            <w:vAlign w:val="center"/>
          </w:tcPr>
          <w:p w:rsidR="00317871" w:rsidRPr="0059185A" w:rsidRDefault="00317871" w:rsidP="00A8287D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59185A">
              <w:rPr>
                <w:rFonts w:cs="Arial"/>
                <w:color w:val="000000"/>
                <w:szCs w:val="20"/>
              </w:rPr>
              <w:t>I = 0,00016438</w:t>
            </w:r>
          </w:p>
          <w:p w:rsidR="00317871" w:rsidRPr="0059185A" w:rsidRDefault="00317871" w:rsidP="00A8287D">
            <w:pPr>
              <w:tabs>
                <w:tab w:val="left" w:pos="1701"/>
              </w:tabs>
              <w:rPr>
                <w:rFonts w:cs="Arial"/>
                <w:color w:val="000000"/>
                <w:szCs w:val="20"/>
              </w:rPr>
            </w:pPr>
            <w:r w:rsidRPr="0059185A">
              <w:rPr>
                <w:rFonts w:cs="Arial"/>
                <w:color w:val="000000"/>
                <w:szCs w:val="20"/>
              </w:rPr>
              <w:t>TX = Percentual da taxa anual = 6%</w:t>
            </w:r>
          </w:p>
        </w:tc>
      </w:tr>
    </w:tbl>
    <w:p w:rsidR="00317871" w:rsidRDefault="00317871" w:rsidP="008D3AD0">
      <w:pPr>
        <w:tabs>
          <w:tab w:val="left" w:pos="1701"/>
        </w:tabs>
        <w:spacing w:line="340" w:lineRule="exact"/>
        <w:ind w:left="-284" w:right="-285"/>
        <w:jc w:val="both"/>
        <w:rPr>
          <w:rFonts w:cs="Arial"/>
          <w:color w:val="000000"/>
          <w:szCs w:val="20"/>
        </w:rPr>
      </w:pPr>
    </w:p>
    <w:p w:rsidR="00956359" w:rsidRPr="0059185A" w:rsidRDefault="00956359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DO REAJUSTE</w:t>
      </w:r>
    </w:p>
    <w:p w:rsidR="00956359" w:rsidRPr="0078157D" w:rsidRDefault="00956359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bCs/>
          <w:iCs/>
          <w:szCs w:val="20"/>
        </w:rPr>
      </w:pPr>
      <w:r w:rsidRPr="0078157D">
        <w:rPr>
          <w:rFonts w:cs="Arial"/>
          <w:bCs/>
          <w:iCs/>
          <w:szCs w:val="20"/>
        </w:rPr>
        <w:t>O preço consignado no contrato será corrigido anualmente, observado o interregno mínimo de um ano, contado a partir da data limite para a apresentação da proposta, pela variação do</w:t>
      </w:r>
      <w:r w:rsidR="00514DF0" w:rsidRPr="0078157D">
        <w:rPr>
          <w:rFonts w:cs="Arial"/>
          <w:bCs/>
          <w:iCs/>
          <w:szCs w:val="20"/>
        </w:rPr>
        <w:t xml:space="preserve"> </w:t>
      </w:r>
      <w:r w:rsidR="00514DF0" w:rsidRPr="0078157D">
        <w:rPr>
          <w:rFonts w:cs="Arial"/>
        </w:rPr>
        <w:t>Índice de Serviço de Telecomunicações (IST), na forma e periodicidade regulamentadas pela Anatel e pelos demais dispositivos legais vigentes</w:t>
      </w:r>
      <w:r w:rsidRPr="0078157D">
        <w:rPr>
          <w:rFonts w:cs="Arial"/>
          <w:bCs/>
          <w:iCs/>
          <w:szCs w:val="20"/>
        </w:rPr>
        <w:t>.</w:t>
      </w:r>
    </w:p>
    <w:p w:rsidR="0078157D" w:rsidRPr="0078157D" w:rsidRDefault="0078157D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78157D">
        <w:rPr>
          <w:rFonts w:cs="Arial"/>
          <w:bCs/>
        </w:rPr>
        <w:t>Na hipótese da ANATEL determinar a alteração de tarifas, de maneira análoga, a CONTRATADA deverá repassar à CONTRATANTE, a partir da mesma data-base, as tarifas modificadas.</w:t>
      </w:r>
    </w:p>
    <w:p w:rsidR="0078157D" w:rsidRPr="00393E14" w:rsidRDefault="0078157D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78157D">
        <w:rPr>
          <w:rFonts w:cs="Arial"/>
          <w:bCs/>
        </w:rPr>
        <w:t>Os reajustes de tarifas devem ser comunicados à CONTRATANTE, por meio de documento expedido pela CONTRATADA.</w:t>
      </w:r>
    </w:p>
    <w:p w:rsidR="00393E14" w:rsidRPr="0078157D" w:rsidRDefault="00393E14" w:rsidP="00393E14">
      <w:pPr>
        <w:spacing w:before="120" w:after="120" w:line="276" w:lineRule="auto"/>
        <w:ind w:left="-284" w:right="-285"/>
        <w:jc w:val="both"/>
        <w:rPr>
          <w:rFonts w:cs="Arial"/>
          <w:szCs w:val="20"/>
        </w:rPr>
      </w:pPr>
    </w:p>
    <w:p w:rsidR="00F32C26" w:rsidRPr="002D6C54" w:rsidRDefault="00F32C26" w:rsidP="008D3AD0">
      <w:pPr>
        <w:pStyle w:val="Nivel01"/>
        <w:numPr>
          <w:ilvl w:val="0"/>
          <w:numId w:val="1"/>
        </w:numPr>
        <w:ind w:left="-284" w:right="-285" w:firstLine="0"/>
        <w:rPr>
          <w:rFonts w:cs="Arial"/>
          <w:color w:val="auto"/>
        </w:rPr>
      </w:pPr>
      <w:r w:rsidRPr="002D6C54">
        <w:rPr>
          <w:rFonts w:cs="Arial"/>
          <w:color w:val="auto"/>
        </w:rPr>
        <w:t xml:space="preserve">DA GARANTIA DE EXECUÇÃO 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HEMOBRÁS exige da CONTRATADA prestação de garantia, em valor correspondente a 5% (cinco por cento) do valor total do contrato, nos moldes do art. 56 da Lei nº 8.666/93. A contratada poderá optar por uma das seguintes modalidades de garantia:</w:t>
      </w:r>
    </w:p>
    <w:p w:rsidR="00F32C26" w:rsidRPr="0059185A" w:rsidRDefault="00F32C26" w:rsidP="008D3AD0">
      <w:pPr>
        <w:pStyle w:val="PargrafodaLista"/>
        <w:ind w:left="-284" w:right="-285"/>
        <w:jc w:val="both"/>
        <w:rPr>
          <w:rFonts w:cs="Arial"/>
          <w:szCs w:val="20"/>
        </w:rPr>
      </w:pPr>
      <w:r w:rsidRPr="0059185A">
        <w:rPr>
          <w:rFonts w:cs="Arial"/>
          <w:szCs w:val="20"/>
        </w:rPr>
        <w:t>I.</w:t>
      </w:r>
      <w:r w:rsidRPr="0059185A">
        <w:rPr>
          <w:rFonts w:cs="Arial"/>
          <w:szCs w:val="20"/>
        </w:rPr>
        <w:tab/>
        <w:t>Caução em dinheiro ou título da dívida pública.</w:t>
      </w:r>
    </w:p>
    <w:p w:rsidR="00F32C26" w:rsidRPr="0059185A" w:rsidRDefault="00F32C26" w:rsidP="008D3AD0">
      <w:pPr>
        <w:pStyle w:val="PargrafodaLista"/>
        <w:ind w:left="-284" w:right="-285"/>
        <w:jc w:val="both"/>
        <w:rPr>
          <w:rFonts w:cs="Arial"/>
          <w:szCs w:val="20"/>
        </w:rPr>
      </w:pPr>
      <w:r w:rsidRPr="0059185A">
        <w:rPr>
          <w:rFonts w:cs="Arial"/>
          <w:szCs w:val="20"/>
        </w:rPr>
        <w:t>II.</w:t>
      </w:r>
      <w:r w:rsidRPr="0059185A">
        <w:rPr>
          <w:rFonts w:cs="Arial"/>
          <w:szCs w:val="20"/>
        </w:rPr>
        <w:tab/>
        <w:t>Seguro garantia.</w:t>
      </w:r>
    </w:p>
    <w:p w:rsidR="00F32C26" w:rsidRPr="0059185A" w:rsidRDefault="00F32C26" w:rsidP="008D3AD0">
      <w:pPr>
        <w:pStyle w:val="PargrafodaLista"/>
        <w:ind w:left="-284" w:right="-285"/>
        <w:jc w:val="both"/>
        <w:rPr>
          <w:rFonts w:cs="Arial"/>
          <w:szCs w:val="20"/>
        </w:rPr>
      </w:pPr>
      <w:r w:rsidRPr="0059185A">
        <w:rPr>
          <w:rFonts w:cs="Arial"/>
          <w:szCs w:val="20"/>
        </w:rPr>
        <w:t>III.</w:t>
      </w:r>
      <w:r w:rsidRPr="0059185A">
        <w:rPr>
          <w:rFonts w:cs="Arial"/>
          <w:szCs w:val="20"/>
        </w:rPr>
        <w:tab/>
        <w:t xml:space="preserve"> Fiança bancária.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CONTRATADA deverá apresentar comprovante de prestação da garantia, no prazo máximo de 10 (dez) dias úteis, prorrogáveis por igual período, a critério do órgão contratante, contados da assinatura do contrato.</w:t>
      </w:r>
    </w:p>
    <w:p w:rsidR="00F32C26" w:rsidRPr="0059185A" w:rsidRDefault="00F32C26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A inobservância do prazo fixado para apresentação da garantia acarretará a aplicação de multa de 0,07% (sete centésimos por cento) do valor total do contrato por dia de atraso, até o máximo de 2% (dois por cento). </w:t>
      </w:r>
    </w:p>
    <w:p w:rsidR="00F32C26" w:rsidRPr="0059185A" w:rsidRDefault="00F32C26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O atraso superior a 25 (vinte e cinco) dias autoriza a Contratante a promover a rescisão do contrato por descumprimento ou cumprimento irregular de suas cláusulas, conforme dispõem os incisos I e II do art. 78 da Lei n. 8.666 de 1993. 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A validade da garantia, qualquer que seja a modalidade escolhida, deverá abranger um período de mais </w:t>
      </w:r>
      <w:proofErr w:type="gramStart"/>
      <w:r w:rsidRPr="0059185A">
        <w:rPr>
          <w:rFonts w:cs="Arial"/>
          <w:color w:val="000000"/>
          <w:szCs w:val="20"/>
          <w:lang w:eastAsia="en-US"/>
        </w:rPr>
        <w:t>3</w:t>
      </w:r>
      <w:proofErr w:type="gramEnd"/>
      <w:r w:rsidRPr="0059185A">
        <w:rPr>
          <w:rFonts w:cs="Arial"/>
          <w:color w:val="000000"/>
          <w:szCs w:val="20"/>
          <w:lang w:eastAsia="en-US"/>
        </w:rPr>
        <w:t xml:space="preserve"> (três) meses após o término da vigência contratual. 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A garantia assegurará, qualquer que seja a modalidade escolhida, o pagamento de: </w:t>
      </w:r>
    </w:p>
    <w:p w:rsidR="00F32C26" w:rsidRPr="0059185A" w:rsidRDefault="00F32C26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Prejuízos advindos do não cumprimento do objeto do contrato; </w:t>
      </w:r>
    </w:p>
    <w:p w:rsidR="00F32C26" w:rsidRPr="0059185A" w:rsidRDefault="00F32C26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Prejuízos diretos causados à Administração decorrentes de culpa ou dolo durante a execução do contrato;</w:t>
      </w:r>
    </w:p>
    <w:p w:rsidR="00F32C26" w:rsidRPr="0059185A" w:rsidRDefault="00F32C26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Multas moratórias e punitivas aplicadas pela Administração à contratada; </w:t>
      </w:r>
      <w:proofErr w:type="gramStart"/>
      <w:r w:rsidR="00DF3E7D" w:rsidRPr="0059185A">
        <w:rPr>
          <w:rFonts w:cs="Arial"/>
          <w:color w:val="000000"/>
          <w:szCs w:val="20"/>
        </w:rPr>
        <w:t>e</w:t>
      </w:r>
      <w:proofErr w:type="gramEnd"/>
    </w:p>
    <w:p w:rsidR="00DF3E7D" w:rsidRPr="0059185A" w:rsidRDefault="00DF3E7D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Obrigações trabalhistas e previdenciárias de qualquer natureza, não adimplidas pela contratada.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modalidade seguro-garantia somente será aceita se contemplar todos os eventos indicados no item anterior, mencionados no art. 19, XIX, b da IN SLTI/MPOG 02/2008, observada a legislação que rege a matéria.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A garantia em dinheiro deverá ser efetuada em favor da Contratante, em conta específica na Caixa Econômica Federal com correção monetária. 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No caso de apresentação como garantia os títulos da dívida pública, só terá validade os escriturais, registrados em sistema centralizado de liquidação e de custódia autorizado pelo Banco Central do Brasil, conforme determinação do Ministério da Fazenda. 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Havendo alteração do valor do contrato, ou prorrogação de sua vigência, a garantia deverá ser ajustada à nova situação ou renovada, seguindo os mesmos parâmetros utilizados quando da contratação. 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Se o valor da garantia for utilizado total ou parcialmente em pagamento de qualquer obrigação, a Contratada obriga-se a fazer a respectiva reposição no prazo máximo de 10 (dez) dias úteis, contados da data em que for notificada.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 garantidor não é parte interessada para figurar em processo administrativo instaurado pela HEMOBRÁS com objetivo de apurar prejuízos e/ou aplicar sanções à contratada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Será considerada extinta a garantia:</w:t>
      </w:r>
    </w:p>
    <w:p w:rsidR="00F32C26" w:rsidRPr="0059185A" w:rsidRDefault="00F32C26" w:rsidP="00AC0E4C">
      <w:pPr>
        <w:numPr>
          <w:ilvl w:val="2"/>
          <w:numId w:val="1"/>
        </w:numPr>
        <w:tabs>
          <w:tab w:val="left" w:pos="709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Com a devolução da apólice, carta fiança ou autorização para o levantamento de importâncias depositadas em dinheiro a título de garantia, acompanhada de declaração da Contratante, mediante termo circunstanciado, de que a Contratada cumpriu todas as cláusulas do contrato; </w:t>
      </w:r>
    </w:p>
    <w:p w:rsidR="00F32C26" w:rsidRPr="0059185A" w:rsidRDefault="00F32C26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No prazo de 03 (três) meses após o término da vigência do contrato, caso a Administração não comunique a ocorrência de sinistros, quando o prazo será ampliado, nos termos da comunicação.</w:t>
      </w:r>
    </w:p>
    <w:p w:rsidR="00F32C26" w:rsidRPr="0059185A" w:rsidRDefault="00F32C2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HEMOBRÁS somente não executará a garantia nas seguintes hipóteses:</w:t>
      </w:r>
    </w:p>
    <w:p w:rsidR="00F32C26" w:rsidRPr="0059185A" w:rsidRDefault="00F32C26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Caso fortuito ou força maior;</w:t>
      </w:r>
    </w:p>
    <w:p w:rsidR="00F32C26" w:rsidRPr="0059185A" w:rsidRDefault="00F32C26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Alteração, sem prévia anuência da seguradora ou do fiador, das obrigações contratuais;</w:t>
      </w:r>
    </w:p>
    <w:p w:rsidR="00F32C26" w:rsidRPr="0059185A" w:rsidRDefault="00F32C26" w:rsidP="00AC0E4C">
      <w:pPr>
        <w:numPr>
          <w:ilvl w:val="2"/>
          <w:numId w:val="1"/>
        </w:numPr>
        <w:tabs>
          <w:tab w:val="left" w:pos="851"/>
        </w:tabs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Descumprimento das obrigações pela contratada decorrente de atos ou fatos da Administração; </w:t>
      </w:r>
      <w:proofErr w:type="gramStart"/>
      <w:r w:rsidRPr="0059185A">
        <w:rPr>
          <w:rFonts w:cs="Arial"/>
          <w:color w:val="000000"/>
          <w:szCs w:val="20"/>
        </w:rPr>
        <w:t>ou</w:t>
      </w:r>
      <w:proofErr w:type="gramEnd"/>
    </w:p>
    <w:p w:rsidR="00F32C26" w:rsidRDefault="00F32C26" w:rsidP="00AC0E4C">
      <w:pPr>
        <w:numPr>
          <w:ilvl w:val="2"/>
          <w:numId w:val="1"/>
        </w:numPr>
        <w:autoSpaceDE w:val="0"/>
        <w:snapToGrid w:val="0"/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Prática de atos ilícitos dolosos por empregados da HEMOBRÁS; </w:t>
      </w:r>
    </w:p>
    <w:p w:rsidR="00393E14" w:rsidRPr="0059185A" w:rsidRDefault="00393E14" w:rsidP="00393E14">
      <w:pPr>
        <w:autoSpaceDE w:val="0"/>
        <w:snapToGrid w:val="0"/>
        <w:spacing w:before="120" w:after="120" w:line="276" w:lineRule="auto"/>
        <w:ind w:left="-284" w:right="-285"/>
        <w:jc w:val="both"/>
        <w:rPr>
          <w:rFonts w:cs="Arial"/>
          <w:color w:val="000000"/>
          <w:szCs w:val="20"/>
        </w:rPr>
      </w:pPr>
    </w:p>
    <w:p w:rsidR="00DB206B" w:rsidRPr="0059185A" w:rsidRDefault="00DB206B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  <w:lang w:eastAsia="en-US"/>
        </w:rPr>
        <w:t xml:space="preserve">OBRIGAÇÕES DA </w:t>
      </w:r>
      <w:r w:rsidR="000754FA" w:rsidRPr="0059185A">
        <w:rPr>
          <w:rFonts w:cs="Arial"/>
          <w:lang w:eastAsia="en-US"/>
        </w:rPr>
        <w:t>HEMOBRÁS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E</w:t>
      </w:r>
      <w:r w:rsidR="00DB206B" w:rsidRPr="0059185A">
        <w:rPr>
          <w:rFonts w:cs="Arial"/>
          <w:color w:val="000000"/>
          <w:szCs w:val="20"/>
        </w:rPr>
        <w:t xml:space="preserve">xigir o cumprimento de todas as obrigações assumidas pela </w:t>
      </w:r>
      <w:r w:rsidR="00D52359" w:rsidRPr="0059185A">
        <w:rPr>
          <w:rFonts w:cs="Arial"/>
          <w:color w:val="000000"/>
          <w:szCs w:val="20"/>
        </w:rPr>
        <w:t>Contratada</w:t>
      </w:r>
      <w:r w:rsidR="00DB206B" w:rsidRPr="0059185A">
        <w:rPr>
          <w:rFonts w:cs="Arial"/>
          <w:color w:val="000000"/>
          <w:szCs w:val="20"/>
        </w:rPr>
        <w:t>, de acordo com as cláusulas contratuais e os termos de sua proposta;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E</w:t>
      </w:r>
      <w:r w:rsidR="00DB206B" w:rsidRPr="0059185A">
        <w:rPr>
          <w:rFonts w:cs="Arial"/>
          <w:color w:val="000000"/>
          <w:szCs w:val="20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</w:t>
      </w:r>
      <w:r w:rsidR="00DB206B" w:rsidRPr="0059185A">
        <w:rPr>
          <w:rFonts w:cs="Arial"/>
          <w:color w:val="000000"/>
          <w:szCs w:val="20"/>
        </w:rPr>
        <w:t xml:space="preserve">otificar a </w:t>
      </w:r>
      <w:r w:rsidR="00D52359" w:rsidRPr="0059185A">
        <w:rPr>
          <w:rFonts w:cs="Arial"/>
          <w:color w:val="000000"/>
          <w:szCs w:val="20"/>
        </w:rPr>
        <w:t>Contratada</w:t>
      </w:r>
      <w:r w:rsidR="00DB206B" w:rsidRPr="0059185A">
        <w:rPr>
          <w:rFonts w:cs="Arial"/>
          <w:color w:val="000000"/>
          <w:szCs w:val="20"/>
        </w:rPr>
        <w:t xml:space="preserve"> por escrito da ocorrência de eventuais imperfeições no curso da execução dos serviços, fixando prazo para a sua correção;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</w:t>
      </w:r>
      <w:r w:rsidR="00DB206B" w:rsidRPr="0059185A">
        <w:rPr>
          <w:rFonts w:cs="Arial"/>
          <w:color w:val="000000"/>
          <w:szCs w:val="20"/>
        </w:rPr>
        <w:t xml:space="preserve">ão permitir que os empregados da </w:t>
      </w:r>
      <w:r w:rsidR="00D52359" w:rsidRPr="0059185A">
        <w:rPr>
          <w:rFonts w:cs="Arial"/>
          <w:color w:val="000000"/>
          <w:szCs w:val="20"/>
        </w:rPr>
        <w:t>Contratada</w:t>
      </w:r>
      <w:r w:rsidR="00DB206B" w:rsidRPr="0059185A">
        <w:rPr>
          <w:rFonts w:cs="Arial"/>
          <w:color w:val="000000"/>
          <w:szCs w:val="20"/>
        </w:rPr>
        <w:t xml:space="preserve"> realizem horas extras, exceto em caso de comprovada necessidade de serviço, formalmente justificada pela autoridade do órgão para o qual o trabalho seja prestado e desde que observado o limite da legislação trabalhista;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P</w:t>
      </w:r>
      <w:r w:rsidR="00DB206B" w:rsidRPr="0059185A">
        <w:rPr>
          <w:rFonts w:cs="Arial"/>
          <w:color w:val="000000"/>
          <w:szCs w:val="20"/>
        </w:rPr>
        <w:t xml:space="preserve">agar à </w:t>
      </w:r>
      <w:r w:rsidR="00D52359" w:rsidRPr="0059185A">
        <w:rPr>
          <w:rFonts w:cs="Arial"/>
          <w:color w:val="000000"/>
          <w:szCs w:val="20"/>
        </w:rPr>
        <w:t>Contratada</w:t>
      </w:r>
      <w:r w:rsidR="00DB206B" w:rsidRPr="0059185A">
        <w:rPr>
          <w:rFonts w:cs="Arial"/>
          <w:color w:val="000000"/>
          <w:szCs w:val="20"/>
        </w:rPr>
        <w:t xml:space="preserve"> o valor resultante da prestação do serviço, </w:t>
      </w:r>
      <w:r w:rsidR="00F37721" w:rsidRPr="0059185A">
        <w:rPr>
          <w:rFonts w:cs="Arial"/>
          <w:color w:val="000000"/>
          <w:szCs w:val="20"/>
        </w:rPr>
        <w:t>no prazo e condições estabelecidas no Edital e seus anexos</w:t>
      </w:r>
      <w:r w:rsidR="00DB206B" w:rsidRPr="0059185A">
        <w:rPr>
          <w:rFonts w:cs="Arial"/>
          <w:color w:val="000000"/>
          <w:szCs w:val="20"/>
        </w:rPr>
        <w:t>;</w:t>
      </w:r>
    </w:p>
    <w:p w:rsidR="00E251E0" w:rsidRDefault="00E251E0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Efetuar as retenções tributárias </w:t>
      </w:r>
      <w:r w:rsidR="001C2192" w:rsidRPr="0059185A">
        <w:rPr>
          <w:rFonts w:cs="Arial"/>
          <w:color w:val="000000"/>
          <w:szCs w:val="20"/>
        </w:rPr>
        <w:t>devidas sobre o valor da Nota Fiscal/</w:t>
      </w:r>
      <w:proofErr w:type="gramStart"/>
      <w:r w:rsidR="001C2192" w:rsidRPr="0059185A">
        <w:rPr>
          <w:rFonts w:cs="Arial"/>
          <w:color w:val="000000"/>
          <w:szCs w:val="20"/>
        </w:rPr>
        <w:t>Fatura fornecida</w:t>
      </w:r>
      <w:proofErr w:type="gramEnd"/>
      <w:r w:rsidR="001C2192" w:rsidRPr="0059185A">
        <w:rPr>
          <w:rFonts w:cs="Arial"/>
          <w:color w:val="000000"/>
          <w:szCs w:val="20"/>
        </w:rPr>
        <w:t xml:space="preserve"> pela </w:t>
      </w:r>
      <w:r w:rsidRPr="0059185A">
        <w:rPr>
          <w:rFonts w:cs="Arial"/>
          <w:color w:val="000000"/>
          <w:szCs w:val="20"/>
        </w:rPr>
        <w:t>contratada</w:t>
      </w:r>
      <w:r w:rsidR="00146A23" w:rsidRPr="0059185A">
        <w:rPr>
          <w:rFonts w:cs="Arial"/>
          <w:color w:val="000000"/>
          <w:szCs w:val="20"/>
        </w:rPr>
        <w:t>, em conformidade com o art. 36, §8º da IN SLTI/MPOG N. 02/2008</w:t>
      </w:r>
      <w:r w:rsidRPr="0059185A">
        <w:rPr>
          <w:rFonts w:cs="Arial"/>
          <w:color w:val="000000"/>
          <w:szCs w:val="20"/>
        </w:rPr>
        <w:t>.</w:t>
      </w:r>
    </w:p>
    <w:p w:rsidR="00C833CA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color w:val="000000"/>
          <w:szCs w:val="20"/>
        </w:rPr>
      </w:pPr>
    </w:p>
    <w:p w:rsidR="00DB206B" w:rsidRPr="0059185A" w:rsidRDefault="00DB206B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 xml:space="preserve">OBRIGAÇÕES DA </w:t>
      </w:r>
      <w:r w:rsidR="00D52359" w:rsidRPr="0059185A">
        <w:rPr>
          <w:rFonts w:cs="Arial"/>
        </w:rPr>
        <w:t>CONTRATADA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E</w:t>
      </w:r>
      <w:r w:rsidR="00DB206B" w:rsidRPr="0059185A">
        <w:rPr>
          <w:rFonts w:cs="Arial"/>
          <w:color w:val="000000"/>
          <w:szCs w:val="20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R</w:t>
      </w:r>
      <w:r w:rsidR="00DB206B" w:rsidRPr="0059185A">
        <w:rPr>
          <w:rFonts w:cs="Arial"/>
          <w:color w:val="000000"/>
          <w:szCs w:val="20"/>
        </w:rPr>
        <w:t xml:space="preserve">eparar, corrigir, remover ou substituir, às suas expensas, no total ou em parte, no prazo </w:t>
      </w:r>
      <w:r w:rsidR="00F37721" w:rsidRPr="0059185A">
        <w:rPr>
          <w:rFonts w:cs="Arial"/>
          <w:color w:val="000000"/>
          <w:szCs w:val="20"/>
        </w:rPr>
        <w:t>fixado pelo fiscal do contrato</w:t>
      </w:r>
      <w:r w:rsidR="00DB206B" w:rsidRPr="0059185A">
        <w:rPr>
          <w:rFonts w:cs="Arial"/>
          <w:color w:val="000000"/>
          <w:szCs w:val="20"/>
        </w:rPr>
        <w:t>, os serviços efetuados em que se verificarem vícios, defeitos ou incorreções resultantes da execução ou dos materiais empregados;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R</w:t>
      </w:r>
      <w:r w:rsidR="00DB206B" w:rsidRPr="0059185A">
        <w:rPr>
          <w:rFonts w:cs="Arial"/>
          <w:color w:val="000000"/>
          <w:szCs w:val="20"/>
        </w:rPr>
        <w:t>esponsabilizar-se pelos vícios e danos decorrentes d</w:t>
      </w:r>
      <w:r w:rsidR="00F37721" w:rsidRPr="0059185A">
        <w:rPr>
          <w:rFonts w:cs="Arial"/>
          <w:color w:val="000000"/>
          <w:szCs w:val="20"/>
        </w:rPr>
        <w:t>a execução d</w:t>
      </w:r>
      <w:r w:rsidR="00DB206B" w:rsidRPr="0059185A">
        <w:rPr>
          <w:rFonts w:cs="Arial"/>
          <w:color w:val="000000"/>
          <w:szCs w:val="20"/>
        </w:rPr>
        <w:t>o objeto, de acordo com os artigos 14 e 17 a 27, do Código de Defesa do Consumidor (Lei nº 8.078, de 1990)</w:t>
      </w:r>
      <w:r w:rsidR="00F37721" w:rsidRPr="0059185A">
        <w:rPr>
          <w:rFonts w:cs="Arial"/>
          <w:color w:val="000000"/>
          <w:szCs w:val="20"/>
        </w:rPr>
        <w:t xml:space="preserve">, ficando a </w:t>
      </w:r>
      <w:r w:rsidR="00D52359" w:rsidRPr="0059185A">
        <w:rPr>
          <w:rFonts w:cs="Arial"/>
          <w:color w:val="000000"/>
          <w:szCs w:val="20"/>
        </w:rPr>
        <w:t>Contratante</w:t>
      </w:r>
      <w:r w:rsidR="00F37721" w:rsidRPr="0059185A">
        <w:rPr>
          <w:rFonts w:cs="Arial"/>
          <w:color w:val="000000"/>
          <w:szCs w:val="20"/>
        </w:rPr>
        <w:t xml:space="preserve"> autorizada a descontar da garantia, caso exigida no edital, ou dos pagamentos devidos à </w:t>
      </w:r>
      <w:r w:rsidR="00D52359" w:rsidRPr="0059185A">
        <w:rPr>
          <w:rFonts w:cs="Arial"/>
          <w:color w:val="000000"/>
          <w:szCs w:val="20"/>
        </w:rPr>
        <w:t>Contratada</w:t>
      </w:r>
      <w:r w:rsidR="00F37721" w:rsidRPr="0059185A">
        <w:rPr>
          <w:rFonts w:cs="Arial"/>
          <w:color w:val="000000"/>
          <w:szCs w:val="20"/>
        </w:rPr>
        <w:t>, o valor correspondente aos danos sofridos</w:t>
      </w:r>
      <w:r w:rsidR="00DB206B" w:rsidRPr="0059185A">
        <w:rPr>
          <w:rFonts w:cs="Arial"/>
          <w:color w:val="000000"/>
          <w:szCs w:val="20"/>
        </w:rPr>
        <w:t>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U</w:t>
      </w:r>
      <w:r w:rsidR="00DB206B" w:rsidRPr="0059185A">
        <w:rPr>
          <w:rFonts w:cs="Arial"/>
          <w:color w:val="000000"/>
          <w:szCs w:val="20"/>
        </w:rPr>
        <w:t>tilizar empregados habilitados e com conhecimentos básicos dos serviços a serem executados, e</w:t>
      </w:r>
      <w:r w:rsidR="00F37721" w:rsidRPr="0059185A">
        <w:rPr>
          <w:rFonts w:cs="Arial"/>
          <w:color w:val="000000"/>
          <w:szCs w:val="20"/>
        </w:rPr>
        <w:t>m</w:t>
      </w:r>
      <w:r w:rsidR="00DB206B" w:rsidRPr="0059185A">
        <w:rPr>
          <w:rFonts w:cs="Arial"/>
          <w:color w:val="000000"/>
          <w:szCs w:val="20"/>
        </w:rPr>
        <w:t xml:space="preserve"> conformidade com as normas e determinações em vigor;</w:t>
      </w:r>
    </w:p>
    <w:p w:rsidR="00DB206B" w:rsidRPr="0059185A" w:rsidRDefault="00765562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Apresentar </w:t>
      </w:r>
      <w:r w:rsidR="00DB206B" w:rsidRPr="0059185A">
        <w:rPr>
          <w:rFonts w:cs="Arial"/>
          <w:color w:val="000000"/>
          <w:szCs w:val="20"/>
        </w:rPr>
        <w:t>os empregados devidamente uniformizados e identificados por meio de crachá, além de provê-los com os Equipamentos de Proteção Individual - EPI, quando for o caso;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A</w:t>
      </w:r>
      <w:r w:rsidR="00DB206B" w:rsidRPr="0059185A">
        <w:rPr>
          <w:rFonts w:cs="Arial"/>
          <w:color w:val="000000"/>
          <w:szCs w:val="20"/>
        </w:rPr>
        <w:t xml:space="preserve">presentar à </w:t>
      </w:r>
      <w:r w:rsidR="00D52359" w:rsidRPr="0059185A">
        <w:rPr>
          <w:rFonts w:cs="Arial"/>
          <w:color w:val="000000"/>
          <w:szCs w:val="20"/>
        </w:rPr>
        <w:t>Contratante</w:t>
      </w:r>
      <w:r w:rsidR="00DB206B" w:rsidRPr="0059185A">
        <w:rPr>
          <w:rFonts w:cs="Arial"/>
          <w:color w:val="000000"/>
          <w:szCs w:val="20"/>
        </w:rPr>
        <w:t xml:space="preserve">, quando </w:t>
      </w:r>
      <w:r w:rsidR="00765562" w:rsidRPr="0059185A">
        <w:rPr>
          <w:rFonts w:cs="Arial"/>
          <w:color w:val="000000"/>
          <w:szCs w:val="20"/>
        </w:rPr>
        <w:t xml:space="preserve">for o caso, a </w:t>
      </w:r>
      <w:r w:rsidR="00DB206B" w:rsidRPr="0059185A">
        <w:rPr>
          <w:rFonts w:cs="Arial"/>
          <w:color w:val="000000"/>
          <w:szCs w:val="20"/>
        </w:rPr>
        <w:t xml:space="preserve">relação nominal </w:t>
      </w:r>
      <w:r w:rsidR="00765562" w:rsidRPr="0059185A">
        <w:rPr>
          <w:rFonts w:cs="Arial"/>
          <w:color w:val="000000"/>
          <w:szCs w:val="20"/>
        </w:rPr>
        <w:t xml:space="preserve">dos empregados </w:t>
      </w:r>
      <w:r w:rsidR="009D6CDC" w:rsidRPr="0059185A">
        <w:rPr>
          <w:rFonts w:cs="Arial"/>
          <w:color w:val="000000"/>
          <w:szCs w:val="20"/>
        </w:rPr>
        <w:t>que adentrarão o órgão para a execução do serviço;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R</w:t>
      </w:r>
      <w:r w:rsidR="00DB206B" w:rsidRPr="0059185A">
        <w:rPr>
          <w:rFonts w:cs="Arial"/>
          <w:color w:val="000000"/>
          <w:szCs w:val="20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59185A">
        <w:rPr>
          <w:rFonts w:cs="Arial"/>
          <w:color w:val="000000"/>
          <w:szCs w:val="20"/>
        </w:rPr>
        <w:t>Contratante</w:t>
      </w:r>
      <w:r w:rsidR="00DB206B" w:rsidRPr="0059185A">
        <w:rPr>
          <w:rFonts w:cs="Arial"/>
          <w:color w:val="000000"/>
          <w:szCs w:val="20"/>
        </w:rPr>
        <w:t>;</w:t>
      </w:r>
    </w:p>
    <w:p w:rsidR="00DB206B" w:rsidRPr="0059185A" w:rsidRDefault="00C11C58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A</w:t>
      </w:r>
      <w:r w:rsidR="00DB206B" w:rsidRPr="0059185A">
        <w:rPr>
          <w:rFonts w:cs="Arial"/>
          <w:color w:val="000000"/>
          <w:szCs w:val="20"/>
        </w:rPr>
        <w:t xml:space="preserve">tender </w:t>
      </w:r>
      <w:r w:rsidR="009D6CDC" w:rsidRPr="0059185A">
        <w:rPr>
          <w:rFonts w:cs="Arial"/>
          <w:color w:val="000000"/>
          <w:szCs w:val="20"/>
        </w:rPr>
        <w:t>a</w:t>
      </w:r>
      <w:r w:rsidR="00DB206B" w:rsidRPr="0059185A">
        <w:rPr>
          <w:rFonts w:cs="Arial"/>
          <w:color w:val="000000"/>
          <w:szCs w:val="20"/>
        </w:rPr>
        <w:t xml:space="preserve">s solicitações da </w:t>
      </w:r>
      <w:r w:rsidR="00D52359" w:rsidRPr="0059185A">
        <w:rPr>
          <w:rFonts w:cs="Arial"/>
          <w:color w:val="000000"/>
          <w:szCs w:val="20"/>
        </w:rPr>
        <w:t>Contratante</w:t>
      </w:r>
      <w:r w:rsidR="00DB206B" w:rsidRPr="0059185A">
        <w:rPr>
          <w:rFonts w:cs="Arial"/>
          <w:color w:val="000000"/>
          <w:szCs w:val="20"/>
        </w:rPr>
        <w:t xml:space="preserve"> quanto à substituição dos empregados alocados, </w:t>
      </w:r>
      <w:r w:rsidR="00A76CE0" w:rsidRPr="0059185A">
        <w:rPr>
          <w:rFonts w:cs="Arial"/>
          <w:color w:val="000000"/>
          <w:szCs w:val="20"/>
        </w:rPr>
        <w:t xml:space="preserve">no prazo fixado pelo fiscal do contrato, </w:t>
      </w:r>
      <w:r w:rsidR="00DB206B" w:rsidRPr="0059185A">
        <w:rPr>
          <w:rFonts w:cs="Arial"/>
          <w:color w:val="000000"/>
          <w:szCs w:val="20"/>
        </w:rPr>
        <w:t>nos casos em que ficar constatado descumprimento das obrigações relativas à execução do serviço, conforme descrito n</w:t>
      </w:r>
      <w:r w:rsidR="009D6CDC" w:rsidRPr="0059185A">
        <w:rPr>
          <w:rFonts w:cs="Arial"/>
          <w:color w:val="000000"/>
          <w:szCs w:val="20"/>
        </w:rPr>
        <w:t>este</w:t>
      </w:r>
      <w:r w:rsidR="00DB206B" w:rsidRPr="0059185A">
        <w:rPr>
          <w:rFonts w:cs="Arial"/>
          <w:color w:val="000000"/>
          <w:szCs w:val="20"/>
        </w:rPr>
        <w:t xml:space="preserve"> Termo de Referência;</w:t>
      </w:r>
    </w:p>
    <w:p w:rsidR="00DB206B" w:rsidRPr="0059185A" w:rsidRDefault="00C11C58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I</w:t>
      </w:r>
      <w:r w:rsidR="00DB206B" w:rsidRPr="0059185A">
        <w:rPr>
          <w:rFonts w:cs="Arial"/>
          <w:color w:val="000000"/>
          <w:szCs w:val="20"/>
        </w:rPr>
        <w:t xml:space="preserve">nstruir seus empregados quanto à necessidade de acatar as </w:t>
      </w:r>
      <w:r w:rsidR="009D6CDC" w:rsidRPr="0059185A">
        <w:rPr>
          <w:rFonts w:cs="Arial"/>
          <w:color w:val="000000"/>
          <w:szCs w:val="20"/>
        </w:rPr>
        <w:t>normas i</w:t>
      </w:r>
      <w:r w:rsidR="00133136" w:rsidRPr="0059185A">
        <w:rPr>
          <w:rFonts w:cs="Arial"/>
          <w:color w:val="000000"/>
          <w:szCs w:val="20"/>
        </w:rPr>
        <w:t xml:space="preserve">nternas </w:t>
      </w:r>
      <w:r w:rsidR="00DB206B" w:rsidRPr="0059185A">
        <w:rPr>
          <w:rFonts w:cs="Arial"/>
          <w:color w:val="000000"/>
          <w:szCs w:val="20"/>
        </w:rPr>
        <w:t>da Administração;</w:t>
      </w:r>
    </w:p>
    <w:p w:rsidR="00DB206B" w:rsidRPr="0059185A" w:rsidRDefault="00C11C58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I</w:t>
      </w:r>
      <w:r w:rsidR="00DB206B" w:rsidRPr="0059185A">
        <w:rPr>
          <w:rFonts w:cs="Arial"/>
          <w:color w:val="000000"/>
          <w:szCs w:val="20"/>
        </w:rPr>
        <w:t xml:space="preserve">nstruir seus empregados a respeito das atividades a serem desempenhadas, alertando-os a não executar atividades não abrangidas pelo contrato, devendo a </w:t>
      </w:r>
      <w:r w:rsidR="00D52359" w:rsidRPr="0059185A">
        <w:rPr>
          <w:rFonts w:cs="Arial"/>
          <w:color w:val="000000"/>
          <w:szCs w:val="20"/>
        </w:rPr>
        <w:t>Contratada</w:t>
      </w:r>
      <w:r w:rsidR="00DB206B" w:rsidRPr="0059185A">
        <w:rPr>
          <w:rFonts w:cs="Arial"/>
          <w:color w:val="000000"/>
          <w:szCs w:val="20"/>
        </w:rPr>
        <w:t xml:space="preserve"> relatar à </w:t>
      </w:r>
      <w:r w:rsidR="00D52359" w:rsidRPr="0059185A">
        <w:rPr>
          <w:rFonts w:cs="Arial"/>
          <w:color w:val="000000"/>
          <w:szCs w:val="20"/>
        </w:rPr>
        <w:t>Contratante</w:t>
      </w:r>
      <w:r w:rsidR="00DB206B" w:rsidRPr="0059185A">
        <w:rPr>
          <w:rFonts w:cs="Arial"/>
          <w:color w:val="000000"/>
          <w:szCs w:val="20"/>
        </w:rPr>
        <w:t xml:space="preserve"> toda e qualquer ocorrência neste sentido, a fim de evitar desvio de função;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R</w:t>
      </w:r>
      <w:r w:rsidR="00DB206B" w:rsidRPr="0059185A">
        <w:rPr>
          <w:rFonts w:cs="Arial"/>
          <w:color w:val="000000"/>
          <w:szCs w:val="20"/>
        </w:rPr>
        <w:t xml:space="preserve">elatar à </w:t>
      </w:r>
      <w:r w:rsidR="00D52359" w:rsidRPr="0059185A">
        <w:rPr>
          <w:rFonts w:cs="Arial"/>
          <w:color w:val="000000"/>
          <w:szCs w:val="20"/>
        </w:rPr>
        <w:t>Contratante</w:t>
      </w:r>
      <w:r w:rsidR="00DB206B" w:rsidRPr="0059185A">
        <w:rPr>
          <w:rFonts w:cs="Arial"/>
          <w:color w:val="000000"/>
          <w:szCs w:val="20"/>
        </w:rPr>
        <w:t xml:space="preserve"> toda e qualquer irregularidade verificada no decorrer da prestação dos serviços;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N</w:t>
      </w:r>
      <w:r w:rsidR="00DB206B" w:rsidRPr="0059185A">
        <w:rPr>
          <w:rFonts w:cs="Arial"/>
          <w:color w:val="000000"/>
          <w:szCs w:val="20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 xml:space="preserve"> </w:t>
      </w:r>
      <w:r w:rsidR="00A36676" w:rsidRPr="0059185A">
        <w:rPr>
          <w:rFonts w:cs="Arial"/>
          <w:color w:val="000000"/>
          <w:szCs w:val="20"/>
        </w:rPr>
        <w:t>M</w:t>
      </w:r>
      <w:r w:rsidRPr="0059185A">
        <w:rPr>
          <w:rFonts w:cs="Arial"/>
          <w:color w:val="000000"/>
          <w:szCs w:val="20"/>
        </w:rPr>
        <w:t>anter durante toda a vigência do contrato, em compatibilidade com as obrigações assumidas, todas as condições de habilitação e qualificação exigidas na licitação;</w:t>
      </w:r>
    </w:p>
    <w:p w:rsidR="00133136" w:rsidRPr="0059185A" w:rsidRDefault="001449A3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G</w:t>
      </w:r>
      <w:r w:rsidR="00133136" w:rsidRPr="0059185A">
        <w:rPr>
          <w:rFonts w:cs="Arial"/>
          <w:color w:val="000000"/>
          <w:szCs w:val="20"/>
        </w:rPr>
        <w:t>uardar sigilo sobre todas as informações obtidas em decorrência do cumprimento do contrato;</w:t>
      </w:r>
    </w:p>
    <w:p w:rsidR="00DB206B" w:rsidRPr="0059185A" w:rsidRDefault="00A36676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A</w:t>
      </w:r>
      <w:r w:rsidR="00DB206B" w:rsidRPr="0059185A">
        <w:rPr>
          <w:rFonts w:cs="Arial"/>
          <w:color w:val="000000"/>
          <w:szCs w:val="20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</w:t>
      </w:r>
      <w:r w:rsidR="00CD128E" w:rsidRPr="0059185A">
        <w:rPr>
          <w:rFonts w:cs="Arial"/>
          <w:color w:val="000000"/>
          <w:szCs w:val="20"/>
        </w:rPr>
        <w:t>;</w:t>
      </w:r>
    </w:p>
    <w:p w:rsidR="00A8287D" w:rsidRPr="0059185A" w:rsidRDefault="00D33A75" w:rsidP="002C3609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C</w:t>
      </w:r>
      <w:r w:rsidR="001063C4" w:rsidRPr="0059185A">
        <w:rPr>
          <w:rFonts w:cs="Arial"/>
          <w:color w:val="000000"/>
          <w:szCs w:val="20"/>
        </w:rPr>
        <w:t>omprometer-se com o cumprimento do estabelecido no código de ética e no código de conduta da Hemobrás, disponíveis no site da CONTRATANTE.</w:t>
      </w:r>
    </w:p>
    <w:p w:rsidR="00A8287D" w:rsidRDefault="00A8287D" w:rsidP="002C3609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</w:rPr>
      </w:pPr>
      <w:r w:rsidRPr="0059185A">
        <w:rPr>
          <w:rFonts w:cs="Arial"/>
          <w:color w:val="000000"/>
          <w:szCs w:val="20"/>
        </w:rPr>
        <w:t>A contratada responde pelos prejuízos causados ao contratante, mesmo aqueles resultantes de caso fortuito ou força maior.</w:t>
      </w:r>
    </w:p>
    <w:p w:rsidR="00C833CA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color w:val="000000"/>
          <w:szCs w:val="20"/>
        </w:rPr>
      </w:pPr>
    </w:p>
    <w:p w:rsidR="00016C16" w:rsidRPr="00514DF0" w:rsidRDefault="00514DF0" w:rsidP="00016C16">
      <w:pPr>
        <w:pStyle w:val="Nivel1"/>
        <w:ind w:left="-284" w:right="-285" w:firstLine="0"/>
        <w:rPr>
          <w:rFonts w:cs="Arial"/>
          <w:color w:val="auto"/>
          <w:lang w:eastAsia="en-US"/>
        </w:rPr>
      </w:pPr>
      <w:r w:rsidRPr="00514DF0">
        <w:rPr>
          <w:rFonts w:cs="Arial"/>
          <w:color w:val="auto"/>
          <w:lang w:eastAsia="en-US"/>
        </w:rPr>
        <w:t xml:space="preserve"> DA SUBCONTRATAÇÃO</w:t>
      </w:r>
    </w:p>
    <w:p w:rsidR="00DB206B" w:rsidRDefault="00D42501" w:rsidP="008D3AD0">
      <w:pPr>
        <w:spacing w:before="120" w:after="120" w:line="276" w:lineRule="auto"/>
        <w:ind w:left="-284" w:right="-285"/>
        <w:jc w:val="both"/>
        <w:rPr>
          <w:rFonts w:cs="Arial"/>
          <w:szCs w:val="20"/>
        </w:rPr>
      </w:pPr>
      <w:r w:rsidRPr="00C833CA">
        <w:rPr>
          <w:rFonts w:cs="Arial"/>
          <w:szCs w:val="20"/>
        </w:rPr>
        <w:t>1</w:t>
      </w:r>
      <w:r w:rsidR="00514DF0" w:rsidRPr="00C833CA">
        <w:rPr>
          <w:rFonts w:cs="Arial"/>
          <w:szCs w:val="20"/>
        </w:rPr>
        <w:t>7</w:t>
      </w:r>
      <w:r w:rsidRPr="00C833CA">
        <w:rPr>
          <w:rFonts w:cs="Arial"/>
          <w:szCs w:val="20"/>
        </w:rPr>
        <w:t xml:space="preserve">.1     </w:t>
      </w:r>
      <w:r w:rsidR="00DB206B" w:rsidRPr="00C833CA">
        <w:rPr>
          <w:rFonts w:cs="Arial"/>
          <w:szCs w:val="20"/>
        </w:rPr>
        <w:t xml:space="preserve">Não </w:t>
      </w:r>
      <w:r w:rsidR="00470F05" w:rsidRPr="00A36710">
        <w:rPr>
          <w:rFonts w:cs="Arial"/>
          <w:szCs w:val="20"/>
        </w:rPr>
        <w:t>serão</w:t>
      </w:r>
      <w:r w:rsidR="00DB206B" w:rsidRPr="00C833CA">
        <w:rPr>
          <w:rFonts w:cs="Arial"/>
          <w:szCs w:val="20"/>
        </w:rPr>
        <w:t xml:space="preserve"> admitida</w:t>
      </w:r>
      <w:r w:rsidR="00470F05">
        <w:rPr>
          <w:rFonts w:cs="Arial"/>
          <w:szCs w:val="20"/>
        </w:rPr>
        <w:t>s</w:t>
      </w:r>
      <w:r w:rsidR="00DB206B" w:rsidRPr="00C833CA">
        <w:rPr>
          <w:rFonts w:cs="Arial"/>
          <w:szCs w:val="20"/>
        </w:rPr>
        <w:t xml:space="preserve"> a subcontratação do objeto licitatório.</w:t>
      </w:r>
    </w:p>
    <w:p w:rsidR="00C833CA" w:rsidRPr="00C833CA" w:rsidRDefault="00C833CA" w:rsidP="00C833CA">
      <w:pPr>
        <w:spacing w:before="120" w:after="120" w:line="276" w:lineRule="auto"/>
        <w:ind w:right="-285"/>
        <w:jc w:val="both"/>
        <w:rPr>
          <w:rFonts w:cs="Arial"/>
          <w:szCs w:val="20"/>
        </w:rPr>
      </w:pPr>
    </w:p>
    <w:p w:rsidR="0055045F" w:rsidRPr="0059185A" w:rsidRDefault="0055045F" w:rsidP="008D3AD0">
      <w:pPr>
        <w:pStyle w:val="Nivel1"/>
        <w:ind w:left="-284" w:right="-285" w:firstLine="0"/>
        <w:rPr>
          <w:rFonts w:cs="Arial"/>
          <w:lang w:eastAsia="en-US"/>
        </w:rPr>
      </w:pPr>
      <w:r w:rsidRPr="0059185A">
        <w:rPr>
          <w:rFonts w:cs="Arial"/>
          <w:lang w:eastAsia="en-US"/>
        </w:rPr>
        <w:t>ALTERAÇÃO SUBJETIVA</w:t>
      </w:r>
    </w:p>
    <w:p w:rsidR="0055045F" w:rsidRDefault="0055045F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  <w:lang w:eastAsia="en-US"/>
        </w:rPr>
      </w:pPr>
      <w:r w:rsidRPr="0059185A">
        <w:rPr>
          <w:rFonts w:cs="Arial"/>
          <w:szCs w:val="20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DB206B" w:rsidRPr="0059185A" w:rsidRDefault="00DB206B" w:rsidP="008D3AD0">
      <w:pPr>
        <w:pStyle w:val="Nivel1"/>
        <w:ind w:left="-284" w:right="-285" w:firstLine="0"/>
        <w:rPr>
          <w:rFonts w:cs="Arial"/>
          <w:lang w:eastAsia="en-US"/>
        </w:rPr>
      </w:pPr>
      <w:r w:rsidRPr="0059185A">
        <w:rPr>
          <w:rFonts w:cs="Arial"/>
          <w:lang w:eastAsia="en-US"/>
        </w:rPr>
        <w:t>CONTROLE E FISCALIZAÇÃO DA EXECUÇÃO</w:t>
      </w:r>
    </w:p>
    <w:p w:rsidR="00147237" w:rsidRPr="0059185A" w:rsidRDefault="00F72333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452F56">
        <w:rPr>
          <w:rFonts w:cs="Arial"/>
          <w:szCs w:val="20"/>
        </w:rPr>
        <w:t xml:space="preserve"> A HEMOBRÁS designará um empregado público para ser fiscal do contrato e outro como substituto, os quais deverão acompanhar e avaliar a execução do contrato, conforme as disposições deste Termo de Referência, nos termos do artigo 67, da Lei </w:t>
      </w:r>
      <w:proofErr w:type="gramStart"/>
      <w:r w:rsidRPr="00452F56">
        <w:rPr>
          <w:rFonts w:cs="Arial"/>
          <w:szCs w:val="20"/>
        </w:rPr>
        <w:t>nº8.</w:t>
      </w:r>
      <w:proofErr w:type="gramEnd"/>
      <w:r w:rsidRPr="00452F56">
        <w:rPr>
          <w:rFonts w:cs="Arial"/>
          <w:szCs w:val="20"/>
        </w:rPr>
        <w:t xml:space="preserve">666/1993, e dos </w:t>
      </w:r>
      <w:proofErr w:type="spellStart"/>
      <w:r w:rsidRPr="00452F56">
        <w:rPr>
          <w:rFonts w:cs="Arial"/>
          <w:szCs w:val="20"/>
        </w:rPr>
        <w:t>arts</w:t>
      </w:r>
      <w:proofErr w:type="spellEnd"/>
      <w:r w:rsidRPr="00452F56">
        <w:rPr>
          <w:rFonts w:cs="Arial"/>
          <w:szCs w:val="20"/>
        </w:rPr>
        <w:t>. 31 a 35, da SLTI/MPOG nº 02/2008, no que couber</w:t>
      </w:r>
      <w:r w:rsidR="0059185A" w:rsidRPr="0059185A">
        <w:rPr>
          <w:rFonts w:cs="Arial"/>
          <w:sz w:val="22"/>
          <w:szCs w:val="22"/>
        </w:rPr>
        <w:t>.</w:t>
      </w:r>
      <w:r w:rsidR="00147237" w:rsidRPr="0059185A">
        <w:rPr>
          <w:rFonts w:cs="Arial"/>
          <w:color w:val="000000"/>
          <w:szCs w:val="20"/>
          <w:lang w:eastAsia="en-US"/>
        </w:rPr>
        <w:t xml:space="preserve"> </w:t>
      </w:r>
    </w:p>
    <w:p w:rsidR="009B1000" w:rsidRPr="0059185A" w:rsidRDefault="009B1000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 representante da Contratante deverá ter a experiência necessária para o acompanhamento e controle da execução dos serviços e do contrato.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 acompanhamento e a fiscalização da execução do contrato consistem na verificação da conformidade da prestação dos serviços e da alocação dos recursos necessários, de forma a assegurar o perfeito cumprimento do ajuste, na forma dos arts. 67 e 73 da Lei nº 8.666, de 1993, e do art. 6º do Decreto nº 2.271, de 1997.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verificação da adequação da prestação do serviço deverá ser realizada com base nos critérios previstos neste Termo de Referência.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execução dos contratos deverá ser acompanhada e fiscalizada por meio de instrumentos de controle, que compreendam a mensuração dos aspectos</w:t>
      </w:r>
      <w:r w:rsidR="004E7BEB" w:rsidRPr="0059185A">
        <w:rPr>
          <w:rFonts w:cs="Arial"/>
          <w:color w:val="000000"/>
          <w:szCs w:val="20"/>
          <w:lang w:eastAsia="en-US"/>
        </w:rPr>
        <w:t xml:space="preserve"> mencionados no art. 34 da Instrução Normativa SLTI/MPOG nº 02, de 2008, quando for o caso.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 fiscal ou gestor do contrato,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artigo 65 da Lei nº 8.666, de 1993.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A conformidade do material a ser utilizado na execução dos serviços deverá ser verificada juntamente com o documento da </w:t>
      </w:r>
      <w:r w:rsidR="00D52359" w:rsidRPr="0059185A">
        <w:rPr>
          <w:rFonts w:cs="Arial"/>
          <w:color w:val="000000"/>
          <w:szCs w:val="20"/>
          <w:lang w:eastAsia="en-US"/>
        </w:rPr>
        <w:t>Contratada</w:t>
      </w:r>
      <w:r w:rsidRPr="0059185A">
        <w:rPr>
          <w:rFonts w:cs="Arial"/>
          <w:color w:val="000000"/>
          <w:szCs w:val="20"/>
          <w:lang w:eastAsia="en-US"/>
        </w:rPr>
        <w:t xml:space="preserve"> que contenha a relação detalhada dos mesmos, de acordo com o estabelecido n</w:t>
      </w:r>
      <w:r w:rsidR="00DB3D26" w:rsidRPr="0059185A">
        <w:rPr>
          <w:rFonts w:cs="Arial"/>
          <w:color w:val="000000"/>
          <w:szCs w:val="20"/>
          <w:lang w:eastAsia="en-US"/>
        </w:rPr>
        <w:t>este</w:t>
      </w:r>
      <w:r w:rsidRPr="0059185A">
        <w:rPr>
          <w:rFonts w:cs="Arial"/>
          <w:color w:val="000000"/>
          <w:szCs w:val="20"/>
          <w:lang w:eastAsia="en-US"/>
        </w:rPr>
        <w:t xml:space="preserve"> Termo de Referência e na proposta, informando as respectivas quantidades e especificações técnicas, tais como: marca, qualidade e forma de uso.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O</w:t>
      </w:r>
      <w:r w:rsidR="00DB3D26" w:rsidRPr="0059185A">
        <w:rPr>
          <w:rFonts w:cs="Arial"/>
          <w:color w:val="000000"/>
          <w:szCs w:val="20"/>
          <w:lang w:eastAsia="en-US"/>
        </w:rPr>
        <w:t xml:space="preserve"> </w:t>
      </w:r>
      <w:r w:rsidRPr="0059185A">
        <w:rPr>
          <w:rFonts w:cs="Arial"/>
          <w:color w:val="000000"/>
          <w:szCs w:val="20"/>
          <w:lang w:eastAsia="en-US"/>
        </w:rPr>
        <w:t xml:space="preserve">representante da </w:t>
      </w:r>
      <w:r w:rsidR="00D52359" w:rsidRPr="0059185A">
        <w:rPr>
          <w:rFonts w:cs="Arial"/>
          <w:color w:val="000000"/>
          <w:szCs w:val="20"/>
          <w:lang w:eastAsia="en-US"/>
        </w:rPr>
        <w:t>Contratante</w:t>
      </w:r>
      <w:r w:rsidRPr="0059185A">
        <w:rPr>
          <w:rFonts w:cs="Arial"/>
          <w:color w:val="000000"/>
          <w:szCs w:val="20"/>
          <w:lang w:eastAsia="en-US"/>
        </w:rPr>
        <w:t xml:space="preserve"> deverá promover o registro das ocorrências verificadas, adotando as providências necessárias ao fiel cumprimento das cláusulas contratuais, conforme o disposto nos §§ 1º e 2º do art. 67 da Lei nº 8.666, de 1993.</w:t>
      </w:r>
    </w:p>
    <w:p w:rsidR="00DB206B" w:rsidRPr="0059185A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O descumprimento total ou parcial das demais obrigações e responsabilidades assumidas pela </w:t>
      </w:r>
      <w:r w:rsidR="00D52359" w:rsidRPr="0059185A">
        <w:rPr>
          <w:rFonts w:cs="Arial"/>
          <w:color w:val="000000"/>
          <w:szCs w:val="20"/>
          <w:lang w:eastAsia="en-US"/>
        </w:rPr>
        <w:t>C</w:t>
      </w:r>
      <w:r w:rsidR="00B63064" w:rsidRPr="0059185A">
        <w:rPr>
          <w:rFonts w:cs="Arial"/>
          <w:color w:val="000000"/>
          <w:szCs w:val="20"/>
          <w:lang w:eastAsia="en-US"/>
        </w:rPr>
        <w:t>ontratada</w:t>
      </w:r>
      <w:r w:rsidRPr="0059185A">
        <w:rPr>
          <w:rFonts w:cs="Arial"/>
          <w:color w:val="000000"/>
          <w:szCs w:val="20"/>
          <w:lang w:eastAsia="en-US"/>
        </w:rPr>
        <w:t xml:space="preserve"> ensejará a aplicação de sanções administrativas, previstas n</w:t>
      </w:r>
      <w:r w:rsidR="00BC352B" w:rsidRPr="0059185A">
        <w:rPr>
          <w:rFonts w:cs="Arial"/>
          <w:color w:val="000000"/>
          <w:szCs w:val="20"/>
          <w:lang w:eastAsia="en-US"/>
        </w:rPr>
        <w:t>este Termo de Referência</w:t>
      </w:r>
      <w:r w:rsidRPr="0059185A">
        <w:rPr>
          <w:rFonts w:cs="Arial"/>
          <w:color w:val="000000"/>
          <w:szCs w:val="20"/>
          <w:lang w:eastAsia="en-US"/>
        </w:rPr>
        <w:t xml:space="preserve"> e na legislação vigente, podendo culminar em rescisão contratual, conforme disposto nos artigos 77 e 8</w:t>
      </w:r>
      <w:r w:rsidR="00ED42BE" w:rsidRPr="0059185A">
        <w:rPr>
          <w:rFonts w:cs="Arial"/>
          <w:color w:val="000000"/>
          <w:szCs w:val="20"/>
          <w:lang w:eastAsia="en-US"/>
        </w:rPr>
        <w:t>0</w:t>
      </w:r>
      <w:r w:rsidRPr="0059185A">
        <w:rPr>
          <w:rFonts w:cs="Arial"/>
          <w:color w:val="000000"/>
          <w:szCs w:val="20"/>
          <w:lang w:eastAsia="en-US"/>
        </w:rPr>
        <w:t xml:space="preserve"> da Lei nº 8.666, de 1993.</w:t>
      </w:r>
    </w:p>
    <w:p w:rsidR="00876AA8" w:rsidRPr="0059185A" w:rsidRDefault="00876AA8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As disposições previstas nesta cláusula não excluem o disposto no Anexo IV (Guia de Fiscalização dos Contratos de Terceirização) da Instrução Normativa SLTI/MPOG nº 02, de 2008, aplicável no que for pertinente à contratação.</w:t>
      </w:r>
    </w:p>
    <w:p w:rsidR="00876AA8" w:rsidRPr="0059185A" w:rsidRDefault="00876AA8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fiscalização da execução dos serviços abrange, ainda, as seguintes rotinas:</w:t>
      </w:r>
    </w:p>
    <w:p w:rsidR="00876AA8" w:rsidRPr="0059185A" w:rsidRDefault="0059185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i/>
          <w:szCs w:val="20"/>
          <w:lang w:eastAsia="en-US"/>
        </w:rPr>
      </w:pPr>
      <w:r w:rsidRPr="0059185A">
        <w:rPr>
          <w:rFonts w:cs="Arial"/>
          <w:sz w:val="22"/>
          <w:szCs w:val="22"/>
        </w:rPr>
        <w:t>Promover através de seu representante, o acompanhamento e a fiscalização da execução deste Contrato, anotando em registro próprio as falhas detectadas e comunicando à CONTRATADA as ocorrências e quaisquer fatos que, a seu critério, exijam medidas corretivas por parte da CONTRATADA;</w:t>
      </w:r>
    </w:p>
    <w:p w:rsidR="00876AA8" w:rsidRPr="0059185A" w:rsidRDefault="0059185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i/>
          <w:szCs w:val="20"/>
          <w:lang w:eastAsia="en-US"/>
        </w:rPr>
      </w:pPr>
      <w:r w:rsidRPr="0059185A">
        <w:rPr>
          <w:rFonts w:cs="Arial"/>
          <w:sz w:val="22"/>
          <w:szCs w:val="22"/>
        </w:rPr>
        <w:t>Solicitar da contratada e de seus prepostos, ou obter da Administração da HEMOBRÁS, tempestivamente, todas as providências necessárias ao bom andamento dos serviços</w:t>
      </w:r>
      <w:r w:rsidR="00876AA8" w:rsidRPr="0059185A">
        <w:rPr>
          <w:rFonts w:cs="Arial"/>
          <w:i/>
          <w:szCs w:val="20"/>
          <w:lang w:eastAsia="en-US"/>
        </w:rPr>
        <w:t>;</w:t>
      </w:r>
    </w:p>
    <w:p w:rsidR="00876AA8" w:rsidRPr="0059185A" w:rsidRDefault="0059185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i/>
          <w:szCs w:val="20"/>
          <w:lang w:eastAsia="en-US"/>
        </w:rPr>
      </w:pPr>
      <w:r w:rsidRPr="0059185A">
        <w:rPr>
          <w:rFonts w:cs="Arial"/>
          <w:sz w:val="22"/>
          <w:szCs w:val="22"/>
        </w:rPr>
        <w:t>Emitir pareceres em todos os atos da Administração, relativos à execução do Contrato e, em especial, na aplicação de sanções, alterações e repactuações do Contrato.</w:t>
      </w:r>
    </w:p>
    <w:p w:rsidR="00DB206B" w:rsidRDefault="00DB206B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A fiscalização de que trata esta cláusula não exclui nem reduz a responsabilidade da </w:t>
      </w:r>
      <w:r w:rsidR="00D52359" w:rsidRPr="0059185A">
        <w:rPr>
          <w:rFonts w:cs="Arial"/>
          <w:color w:val="000000"/>
          <w:szCs w:val="20"/>
          <w:lang w:eastAsia="en-US"/>
        </w:rPr>
        <w:t>C</w:t>
      </w:r>
      <w:r w:rsidR="00B63064" w:rsidRPr="0059185A">
        <w:rPr>
          <w:rFonts w:cs="Arial"/>
          <w:color w:val="000000"/>
          <w:szCs w:val="20"/>
          <w:lang w:eastAsia="en-US"/>
        </w:rPr>
        <w:t>ontratada</w:t>
      </w:r>
      <w:r w:rsidRPr="0059185A">
        <w:rPr>
          <w:rFonts w:cs="Arial"/>
          <w:color w:val="000000"/>
          <w:szCs w:val="20"/>
          <w:lang w:eastAsia="en-US"/>
        </w:rPr>
        <w:t>, inclusive perante terceiros, por qualquer irregularidade, ainda que resultante de imperfeições técnicas, vícios redibitórios, ou emprego de material inadequado ou de qualidade inferior e, na ocor</w:t>
      </w:r>
      <w:r w:rsidR="006D5919" w:rsidRPr="0059185A">
        <w:rPr>
          <w:rFonts w:cs="Arial"/>
          <w:color w:val="000000"/>
          <w:szCs w:val="20"/>
          <w:lang w:eastAsia="en-US"/>
        </w:rPr>
        <w:t>rência desta, não implica em cor</w:t>
      </w:r>
      <w:r w:rsidRPr="0059185A">
        <w:rPr>
          <w:rFonts w:cs="Arial"/>
          <w:color w:val="000000"/>
          <w:szCs w:val="20"/>
          <w:lang w:eastAsia="en-US"/>
        </w:rPr>
        <w:t xml:space="preserve">responsabilidade da </w:t>
      </w:r>
      <w:r w:rsidR="00D52359" w:rsidRPr="0059185A">
        <w:rPr>
          <w:rFonts w:cs="Arial"/>
          <w:color w:val="000000"/>
          <w:szCs w:val="20"/>
          <w:lang w:eastAsia="en-US"/>
        </w:rPr>
        <w:t>C</w:t>
      </w:r>
      <w:r w:rsidR="00B63064" w:rsidRPr="0059185A">
        <w:rPr>
          <w:rFonts w:cs="Arial"/>
          <w:color w:val="000000"/>
          <w:szCs w:val="20"/>
          <w:lang w:eastAsia="en-US"/>
        </w:rPr>
        <w:t>ontratante</w:t>
      </w:r>
      <w:r w:rsidRPr="0059185A">
        <w:rPr>
          <w:rFonts w:cs="Arial"/>
          <w:color w:val="000000"/>
          <w:szCs w:val="20"/>
          <w:lang w:eastAsia="en-US"/>
        </w:rPr>
        <w:t xml:space="preserve"> ou de seus agentes e prepostos, de conformidade com o art. 70 da Lei nº 8.666, de 1993.</w:t>
      </w:r>
    </w:p>
    <w:p w:rsidR="00C833CA" w:rsidRDefault="00C833CA" w:rsidP="00C833CA">
      <w:pPr>
        <w:spacing w:before="120" w:after="120" w:line="276" w:lineRule="auto"/>
        <w:ind w:left="-284" w:right="-285"/>
        <w:jc w:val="both"/>
        <w:rPr>
          <w:rFonts w:cs="Arial"/>
          <w:color w:val="000000"/>
          <w:szCs w:val="20"/>
          <w:lang w:eastAsia="en-US"/>
        </w:rPr>
      </w:pPr>
    </w:p>
    <w:p w:rsidR="00DB206B" w:rsidRPr="0059185A" w:rsidRDefault="00DB206B" w:rsidP="008D3AD0">
      <w:pPr>
        <w:pStyle w:val="Nivel1"/>
        <w:ind w:left="-284" w:right="-285" w:firstLine="0"/>
        <w:rPr>
          <w:rFonts w:cs="Arial"/>
        </w:rPr>
      </w:pPr>
      <w:r w:rsidRPr="0059185A">
        <w:rPr>
          <w:rFonts w:cs="Arial"/>
        </w:rPr>
        <w:t>DAS SANÇÕES ADMINISTRATIVAS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Comete infração administrativa a Contratada que inexecutar total ou parcialmente qualquer das obrigações assumidas em decorrência da contratação; ensejar o retardamento da execução do objeto; fraudar na execução do contrato; comportar-se de modo inidôneo; cometer fraude fiscal; não mantiver a proposta ou descumprir prazos legais e contratuais.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Contratada que cometer qualquer das infrações discriminadas no subitem acima ficará sujeita, sem prejuízo da responsabilidade civil e criminal, às seguintes sanções:</w:t>
      </w:r>
    </w:p>
    <w:p w:rsidR="005A7F4A" w:rsidRPr="0059185A" w:rsidRDefault="00E302CB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a</w:t>
      </w:r>
      <w:r w:rsidR="005A7F4A" w:rsidRPr="0059185A">
        <w:rPr>
          <w:rFonts w:cs="Arial"/>
          <w:szCs w:val="20"/>
        </w:rPr>
        <w:t>dvertência</w:t>
      </w:r>
      <w:proofErr w:type="gramEnd"/>
      <w:r w:rsidR="005A7F4A" w:rsidRPr="0059185A">
        <w:rPr>
          <w:rFonts w:cs="Arial"/>
          <w:szCs w:val="20"/>
        </w:rPr>
        <w:t xml:space="preserve"> por faltas leves, assim entendidas aquelas que não acarretem prejuízos significativos para a Contratante;</w:t>
      </w:r>
    </w:p>
    <w:p w:rsidR="00C23C92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multa</w:t>
      </w:r>
      <w:proofErr w:type="gramEnd"/>
      <w:r w:rsidRPr="0059185A">
        <w:rPr>
          <w:rFonts w:cs="Arial"/>
          <w:szCs w:val="20"/>
        </w:rPr>
        <w:t xml:space="preserve"> moratória de 0,3% (três décimos por cento) por dia de atraso injustificado sobre o valor da parcela inadimplida, até o limite de 10% (dez por cento) recolhida no prazo máximo de 15 (quinze) dias, a contar da data do recebimento da comunicação enviada pela autoridade competente.</w:t>
      </w:r>
    </w:p>
    <w:p w:rsidR="005A7F4A" w:rsidRPr="0059185A" w:rsidRDefault="005A7F4A" w:rsidP="008D3AD0">
      <w:pPr>
        <w:pStyle w:val="PargrafodaLista"/>
        <w:numPr>
          <w:ilvl w:val="3"/>
          <w:numId w:val="3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</w:rPr>
        <w:t>as</w:t>
      </w:r>
      <w:proofErr w:type="gramEnd"/>
      <w:r w:rsidRPr="0059185A">
        <w:rPr>
          <w:rFonts w:cs="Arial"/>
        </w:rPr>
        <w:t xml:space="preserve"> penalidades de multa decorrentes de fatos diversos serão consideradas independentes entre si.</w:t>
      </w:r>
    </w:p>
    <w:p w:rsidR="00A94F92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multa</w:t>
      </w:r>
      <w:proofErr w:type="gramEnd"/>
      <w:r w:rsidRPr="0059185A">
        <w:rPr>
          <w:rFonts w:cs="Arial"/>
          <w:szCs w:val="20"/>
        </w:rPr>
        <w:t xml:space="preserve"> compensatória de até 8% (oito. por cento) sobre o valor total do contrato, no caso de inexecução total do objeto;</w:t>
      </w:r>
    </w:p>
    <w:p w:rsidR="005A7F4A" w:rsidRPr="0059185A" w:rsidRDefault="005A7F4A" w:rsidP="008D3AD0">
      <w:pPr>
        <w:pStyle w:val="PargrafodaLista"/>
        <w:numPr>
          <w:ilvl w:val="3"/>
          <w:numId w:val="32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em</w:t>
      </w:r>
      <w:proofErr w:type="gramEnd"/>
      <w:r w:rsidRPr="0059185A">
        <w:rPr>
          <w:rFonts w:cs="Arial"/>
          <w:szCs w:val="20"/>
        </w:rPr>
        <w:t xml:space="preserve"> caso de inexecução parcial, a multa compensatória, no mesmo percentual do subitem acima, será aplicada de forma proporcional à obrigação inadimplida;</w:t>
      </w:r>
    </w:p>
    <w:p w:rsidR="005A7F4A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suspensão</w:t>
      </w:r>
      <w:proofErr w:type="gramEnd"/>
      <w:r w:rsidRPr="0059185A">
        <w:rPr>
          <w:rFonts w:cs="Arial"/>
          <w:szCs w:val="20"/>
        </w:rPr>
        <w:t xml:space="preserve"> de licitar e impedimento de contratar com o órgão, entidade ou unidade administrativa pela qual a Administração Pública opera e atua concretamente, pelo prazo de até dois anos; </w:t>
      </w:r>
    </w:p>
    <w:p w:rsidR="005A7F4A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impedimento</w:t>
      </w:r>
      <w:proofErr w:type="gramEnd"/>
      <w:r w:rsidRPr="0059185A">
        <w:rPr>
          <w:rFonts w:cs="Arial"/>
          <w:szCs w:val="20"/>
        </w:rPr>
        <w:t xml:space="preserve"> de licitar e contratar com a União com o consequente descredenciamento no SICAF pelo prazo de até cinco anos; </w:t>
      </w:r>
    </w:p>
    <w:p w:rsidR="005A7F4A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declaração</w:t>
      </w:r>
      <w:proofErr w:type="gramEnd"/>
      <w:r w:rsidRPr="0059185A">
        <w:rPr>
          <w:rFonts w:cs="Arial"/>
          <w:szCs w:val="20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Também ficam sujeitas às penalidades do art. 87, III e IV da Lei nº 8.666, de 1993, as empresas ou profissionais que:</w:t>
      </w:r>
    </w:p>
    <w:p w:rsidR="005A7F4A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tenham</w:t>
      </w:r>
      <w:proofErr w:type="gramEnd"/>
      <w:r w:rsidRPr="0059185A">
        <w:rPr>
          <w:rFonts w:cs="Arial"/>
          <w:szCs w:val="20"/>
        </w:rPr>
        <w:t xml:space="preserve"> sofrido condenação definitiva por praticar, por meio dolosos, fraude fiscal no recolhimento de quaisquer tributos;</w:t>
      </w:r>
    </w:p>
    <w:p w:rsidR="005A7F4A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tenham</w:t>
      </w:r>
      <w:proofErr w:type="gramEnd"/>
      <w:r w:rsidRPr="0059185A">
        <w:rPr>
          <w:rFonts w:cs="Arial"/>
          <w:szCs w:val="20"/>
        </w:rPr>
        <w:t xml:space="preserve"> praticado atos ilícitos visando a frustrar os objetivos da licitação;</w:t>
      </w:r>
    </w:p>
    <w:p w:rsidR="005A7F4A" w:rsidRPr="0059185A" w:rsidRDefault="005A7F4A" w:rsidP="008D3AD0">
      <w:pPr>
        <w:pStyle w:val="PargrafodaLista"/>
        <w:numPr>
          <w:ilvl w:val="2"/>
          <w:numId w:val="1"/>
        </w:numPr>
        <w:spacing w:before="120" w:after="120" w:line="276" w:lineRule="auto"/>
        <w:ind w:left="-284" w:right="-285" w:firstLine="0"/>
        <w:contextualSpacing w:val="0"/>
        <w:jc w:val="both"/>
        <w:rPr>
          <w:rFonts w:cs="Arial"/>
          <w:szCs w:val="20"/>
        </w:rPr>
      </w:pPr>
      <w:proofErr w:type="gramStart"/>
      <w:r w:rsidRPr="0059185A">
        <w:rPr>
          <w:rFonts w:cs="Arial"/>
          <w:szCs w:val="20"/>
        </w:rPr>
        <w:t>demonstrem</w:t>
      </w:r>
      <w:proofErr w:type="gramEnd"/>
      <w:r w:rsidRPr="0059185A">
        <w:rPr>
          <w:rFonts w:cs="Arial"/>
          <w:szCs w:val="20"/>
        </w:rPr>
        <w:t xml:space="preserve"> não possuir idoneidade para contratar com a Administração em virtude de atos ilícitos praticados.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As sanções aqui previstas são independentes entre si, podendo ser aplicadas isoladas ou, no caso das multas, cumulativamente, sem prejuízo de outras medidas cabíveis.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 xml:space="preserve">Em caso de inexecução total ou parcial do contrato, a CONTRATADA estará sujeita ainda, nos casos em que as multas e sanções aplicadas não sejam suficientes para compensar os danos suportados pela Administração, ao pagamento de uma indenização suplementar. 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color w:val="000000"/>
          <w:szCs w:val="20"/>
          <w:lang w:eastAsia="en-US"/>
        </w:rPr>
      </w:pPr>
      <w:r w:rsidRPr="0059185A">
        <w:rPr>
          <w:rFonts w:cs="Arial"/>
          <w:color w:val="000000"/>
          <w:szCs w:val="20"/>
          <w:lang w:eastAsia="en-US"/>
        </w:rPr>
        <w:t>As multas devidas e/ou prejuízos causados à HEMOBRÁS serão deduzidos dos valores a serem pagos, ou recolhidos em favor da HEMOBRÁS, ou deduzidos da garantia, ou ainda, quando for o caso, cobrados judicialmente.</w:t>
      </w:r>
    </w:p>
    <w:p w:rsidR="005A7F4A" w:rsidRPr="0059185A" w:rsidRDefault="005A7F4A" w:rsidP="008D3AD0">
      <w:pPr>
        <w:numPr>
          <w:ilvl w:val="1"/>
          <w:numId w:val="1"/>
        </w:numPr>
        <w:spacing w:before="120" w:after="120" w:line="276" w:lineRule="auto"/>
        <w:ind w:left="-284" w:right="-285" w:firstLine="0"/>
        <w:jc w:val="both"/>
        <w:rPr>
          <w:rFonts w:cs="Arial"/>
          <w:szCs w:val="20"/>
        </w:rPr>
      </w:pPr>
      <w:r w:rsidRPr="0059185A">
        <w:rPr>
          <w:rFonts w:cs="Arial"/>
          <w:color w:val="000000"/>
          <w:szCs w:val="20"/>
          <w:lang w:eastAsia="en-US"/>
        </w:rPr>
        <w:t>As penalidades serão obrigatoriamente registradas no SICAF.</w:t>
      </w:r>
    </w:p>
    <w:p w:rsidR="0051788C" w:rsidRDefault="0051788C" w:rsidP="008D3AD0">
      <w:pPr>
        <w:ind w:left="-284" w:right="-285"/>
        <w:jc w:val="both"/>
        <w:rPr>
          <w:rFonts w:cs="Arial"/>
        </w:rPr>
      </w:pPr>
    </w:p>
    <w:p w:rsidR="00256532" w:rsidRDefault="00256532" w:rsidP="0059185A">
      <w:pPr>
        <w:spacing w:after="120"/>
        <w:jc w:val="both"/>
        <w:rPr>
          <w:rFonts w:cs="Arial"/>
          <w:sz w:val="22"/>
          <w:szCs w:val="22"/>
        </w:rPr>
      </w:pPr>
    </w:p>
    <w:p w:rsidR="00393E14" w:rsidRDefault="00393E14" w:rsidP="0059185A">
      <w:pPr>
        <w:spacing w:after="120"/>
        <w:jc w:val="both"/>
        <w:rPr>
          <w:rFonts w:cs="Arial"/>
          <w:sz w:val="22"/>
          <w:szCs w:val="22"/>
        </w:rPr>
      </w:pPr>
    </w:p>
    <w:p w:rsidR="0059185A" w:rsidRDefault="00AC0E4C" w:rsidP="0059185A">
      <w:pPr>
        <w:spacing w:after="1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Recife, </w:t>
      </w:r>
      <w:r w:rsidR="00393E14">
        <w:rPr>
          <w:rFonts w:cs="Arial"/>
          <w:sz w:val="22"/>
          <w:szCs w:val="22"/>
        </w:rPr>
        <w:t>1</w:t>
      </w:r>
      <w:r w:rsidR="00A36710">
        <w:rPr>
          <w:rFonts w:cs="Arial"/>
          <w:sz w:val="22"/>
          <w:szCs w:val="22"/>
        </w:rPr>
        <w:t>2</w:t>
      </w:r>
      <w:r w:rsidR="00E302CB" w:rsidRPr="0059185A">
        <w:rPr>
          <w:rFonts w:cs="Arial"/>
          <w:sz w:val="22"/>
          <w:szCs w:val="22"/>
        </w:rPr>
        <w:t xml:space="preserve"> </w:t>
      </w:r>
      <w:r w:rsidR="0059185A" w:rsidRPr="0059185A">
        <w:rPr>
          <w:rFonts w:cs="Arial"/>
          <w:sz w:val="22"/>
          <w:szCs w:val="22"/>
        </w:rPr>
        <w:t xml:space="preserve">de </w:t>
      </w:r>
      <w:r w:rsidR="00A36710">
        <w:rPr>
          <w:rFonts w:cs="Arial"/>
          <w:sz w:val="22"/>
          <w:szCs w:val="22"/>
        </w:rPr>
        <w:t>março</w:t>
      </w:r>
      <w:r w:rsidR="0059185A" w:rsidRPr="0059185A">
        <w:rPr>
          <w:rFonts w:cs="Arial"/>
          <w:sz w:val="22"/>
          <w:szCs w:val="22"/>
        </w:rPr>
        <w:t xml:space="preserve"> de 201</w:t>
      </w:r>
      <w:r w:rsidR="00A36710">
        <w:rPr>
          <w:rFonts w:cs="Arial"/>
          <w:sz w:val="22"/>
          <w:szCs w:val="22"/>
        </w:rPr>
        <w:t>8</w:t>
      </w:r>
      <w:r w:rsidR="0059185A" w:rsidRPr="0059185A">
        <w:rPr>
          <w:rFonts w:cs="Arial"/>
          <w:sz w:val="22"/>
          <w:szCs w:val="22"/>
        </w:rPr>
        <w:t>.</w:t>
      </w:r>
    </w:p>
    <w:p w:rsidR="00AC0E4C" w:rsidRDefault="00AC0E4C" w:rsidP="0059185A">
      <w:pPr>
        <w:spacing w:after="120"/>
        <w:jc w:val="both"/>
        <w:rPr>
          <w:rFonts w:cs="Arial"/>
          <w:sz w:val="22"/>
          <w:szCs w:val="22"/>
        </w:rPr>
      </w:pPr>
    </w:p>
    <w:p w:rsidR="00393E14" w:rsidRPr="0059185A" w:rsidRDefault="00393E14" w:rsidP="0059185A">
      <w:pPr>
        <w:spacing w:after="120"/>
        <w:jc w:val="both"/>
        <w:rPr>
          <w:rFonts w:cs="Arial"/>
          <w:sz w:val="22"/>
          <w:szCs w:val="22"/>
        </w:rPr>
      </w:pPr>
    </w:p>
    <w:p w:rsidR="00393E14" w:rsidRDefault="0059185A" w:rsidP="00E71993">
      <w:pPr>
        <w:ind w:left="-284" w:right="-285"/>
        <w:rPr>
          <w:rFonts w:cs="Arial"/>
          <w:szCs w:val="20"/>
        </w:rPr>
      </w:pPr>
      <w:r w:rsidRPr="0059185A">
        <w:rPr>
          <w:rFonts w:cs="Arial"/>
          <w:szCs w:val="20"/>
        </w:rPr>
        <w:t>ELABORADO POR:</w:t>
      </w:r>
    </w:p>
    <w:p w:rsidR="008304EB" w:rsidRDefault="008304EB" w:rsidP="00E71993">
      <w:pPr>
        <w:ind w:left="-284" w:right="-285"/>
        <w:rPr>
          <w:rFonts w:cs="Arial"/>
          <w:szCs w:val="20"/>
        </w:rPr>
      </w:pPr>
    </w:p>
    <w:p w:rsidR="008304EB" w:rsidRDefault="008304EB" w:rsidP="00E71993">
      <w:pPr>
        <w:ind w:left="-284" w:right="-285"/>
        <w:rPr>
          <w:rFonts w:cs="Arial"/>
          <w:szCs w:val="20"/>
        </w:rPr>
      </w:pPr>
    </w:p>
    <w:p w:rsidR="008304EB" w:rsidRDefault="008304EB" w:rsidP="00E71993">
      <w:pPr>
        <w:ind w:left="-284" w:right="-285"/>
        <w:rPr>
          <w:rFonts w:cs="Arial"/>
          <w:szCs w:val="20"/>
        </w:rPr>
      </w:pPr>
    </w:p>
    <w:p w:rsidR="00566D70" w:rsidRDefault="00566D70" w:rsidP="00E71993">
      <w:pPr>
        <w:ind w:left="-284" w:right="-285"/>
        <w:rPr>
          <w:rFonts w:cs="Arial"/>
          <w:szCs w:val="20"/>
        </w:rPr>
      </w:pPr>
    </w:p>
    <w:p w:rsidR="00566D70" w:rsidRDefault="00566D70" w:rsidP="00E71993">
      <w:pPr>
        <w:ind w:left="-284" w:right="-285"/>
        <w:rPr>
          <w:rFonts w:cs="Arial"/>
          <w:szCs w:val="20"/>
        </w:rPr>
      </w:pPr>
    </w:p>
    <w:p w:rsidR="00393E14" w:rsidRDefault="00393E14" w:rsidP="00393E14">
      <w:pPr>
        <w:ind w:left="-284" w:right="-285"/>
        <w:jc w:val="center"/>
        <w:rPr>
          <w:rFonts w:cs="Arial"/>
          <w:szCs w:val="20"/>
        </w:rPr>
      </w:pPr>
      <w:r>
        <w:rPr>
          <w:rFonts w:cs="Arial"/>
          <w:szCs w:val="20"/>
        </w:rPr>
        <w:t>Claudio Lopes Junior</w:t>
      </w:r>
    </w:p>
    <w:p w:rsidR="00393E14" w:rsidRPr="00E71993" w:rsidRDefault="00393E14" w:rsidP="00393E14">
      <w:pPr>
        <w:ind w:right="-285"/>
        <w:jc w:val="center"/>
        <w:rPr>
          <w:rFonts w:cs="Arial"/>
          <w:sz w:val="16"/>
          <w:szCs w:val="16"/>
        </w:rPr>
      </w:pPr>
      <w:r w:rsidRPr="00E71993">
        <w:rPr>
          <w:rFonts w:cs="Arial"/>
          <w:sz w:val="16"/>
          <w:szCs w:val="16"/>
        </w:rPr>
        <w:t>Assistente Técnico Especializado</w:t>
      </w:r>
    </w:p>
    <w:p w:rsidR="00393E14" w:rsidRDefault="00393E14" w:rsidP="00393E14">
      <w:pPr>
        <w:ind w:left="-284" w:right="-285"/>
        <w:jc w:val="center"/>
        <w:rPr>
          <w:rFonts w:cs="Arial"/>
          <w:szCs w:val="20"/>
        </w:rPr>
      </w:pPr>
      <w:r w:rsidRPr="00E71993">
        <w:rPr>
          <w:rFonts w:cs="Arial"/>
          <w:sz w:val="16"/>
          <w:szCs w:val="16"/>
        </w:rPr>
        <w:t>Gerencia de Tecnologia de Informação e Comunicação</w:t>
      </w:r>
    </w:p>
    <w:p w:rsidR="00E71993" w:rsidRDefault="00E71993" w:rsidP="00E71993">
      <w:pPr>
        <w:ind w:left="-284" w:right="-285"/>
        <w:rPr>
          <w:rFonts w:cs="Arial"/>
          <w:szCs w:val="20"/>
        </w:rPr>
      </w:pPr>
    </w:p>
    <w:p w:rsidR="00393E14" w:rsidRDefault="00393E14" w:rsidP="00E71993">
      <w:pPr>
        <w:ind w:left="-284" w:right="-285"/>
        <w:rPr>
          <w:rFonts w:cs="Arial"/>
          <w:szCs w:val="20"/>
        </w:rPr>
      </w:pPr>
    </w:p>
    <w:p w:rsidR="00566D70" w:rsidRDefault="00566D70" w:rsidP="00E71993">
      <w:pPr>
        <w:ind w:left="-284" w:right="-285"/>
        <w:rPr>
          <w:rFonts w:cs="Arial"/>
          <w:szCs w:val="20"/>
        </w:rPr>
      </w:pPr>
    </w:p>
    <w:p w:rsidR="00566D70" w:rsidRDefault="00566D70" w:rsidP="00E71993">
      <w:pPr>
        <w:ind w:left="-284" w:right="-285"/>
        <w:rPr>
          <w:rFonts w:cs="Arial"/>
          <w:szCs w:val="20"/>
        </w:rPr>
      </w:pPr>
    </w:p>
    <w:p w:rsidR="00393E14" w:rsidRDefault="00393E14" w:rsidP="00393E14">
      <w:pPr>
        <w:ind w:left="-284" w:right="-285"/>
        <w:jc w:val="center"/>
        <w:rPr>
          <w:rFonts w:cs="Arial"/>
          <w:szCs w:val="20"/>
        </w:rPr>
      </w:pPr>
      <w:r>
        <w:rPr>
          <w:rFonts w:cs="Arial"/>
          <w:szCs w:val="20"/>
        </w:rPr>
        <w:t>José Eduardo S. Martins</w:t>
      </w:r>
    </w:p>
    <w:p w:rsidR="00393E14" w:rsidRPr="00E71993" w:rsidRDefault="00393E14" w:rsidP="00393E14">
      <w:pPr>
        <w:ind w:right="-285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Assessor Técnico Especializado</w:t>
      </w:r>
    </w:p>
    <w:p w:rsidR="00393E14" w:rsidRDefault="00393E14" w:rsidP="00393E14">
      <w:pPr>
        <w:ind w:left="-284" w:right="-285"/>
        <w:jc w:val="center"/>
        <w:rPr>
          <w:rFonts w:cs="Arial"/>
          <w:szCs w:val="20"/>
        </w:rPr>
      </w:pPr>
      <w:r>
        <w:rPr>
          <w:rFonts w:cs="Arial"/>
          <w:sz w:val="16"/>
          <w:szCs w:val="16"/>
        </w:rPr>
        <w:t>Assessoria de Assuntos Regulatórios</w:t>
      </w:r>
    </w:p>
    <w:p w:rsidR="00393E14" w:rsidRDefault="00393E14" w:rsidP="00E71993">
      <w:pPr>
        <w:ind w:left="-284" w:right="-285"/>
        <w:rPr>
          <w:rFonts w:cs="Arial"/>
          <w:szCs w:val="20"/>
        </w:rPr>
      </w:pPr>
    </w:p>
    <w:p w:rsidR="00393E14" w:rsidRDefault="00393E14" w:rsidP="00E71993">
      <w:pPr>
        <w:ind w:left="-284" w:right="-285"/>
        <w:rPr>
          <w:rFonts w:cs="Arial"/>
          <w:szCs w:val="20"/>
        </w:rPr>
      </w:pPr>
    </w:p>
    <w:p w:rsidR="00613864" w:rsidRDefault="00613864" w:rsidP="00613864">
      <w:pPr>
        <w:ind w:left="1840" w:right="-285" w:firstLine="992"/>
        <w:jc w:val="center"/>
        <w:rPr>
          <w:rFonts w:cs="Arial"/>
          <w:szCs w:val="20"/>
        </w:rPr>
      </w:pPr>
    </w:p>
    <w:p w:rsidR="00416B25" w:rsidRDefault="00416B25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416B25" w:rsidRDefault="00416B25" w:rsidP="00416B25">
      <w:pPr>
        <w:ind w:left="-284" w:right="-285"/>
        <w:jc w:val="center"/>
        <w:rPr>
          <w:rFonts w:cs="Arial"/>
          <w:szCs w:val="20"/>
        </w:rPr>
      </w:pPr>
      <w:r>
        <w:rPr>
          <w:rFonts w:cs="Arial"/>
          <w:szCs w:val="20"/>
        </w:rPr>
        <w:t xml:space="preserve">ANEXO I </w:t>
      </w:r>
      <w:r w:rsidR="000E4694">
        <w:rPr>
          <w:rFonts w:cs="Arial"/>
          <w:szCs w:val="20"/>
        </w:rPr>
        <w:t xml:space="preserve">DO TERMO DE REFERÊNCIA </w:t>
      </w:r>
      <w:bookmarkStart w:id="0" w:name="_GoBack"/>
      <w:bookmarkEnd w:id="0"/>
      <w:r>
        <w:rPr>
          <w:rFonts w:cs="Arial"/>
          <w:szCs w:val="20"/>
        </w:rPr>
        <w:t>– Modelo de apresentação de proposta</w:t>
      </w:r>
    </w:p>
    <w:p w:rsidR="00416B25" w:rsidRDefault="00416B25" w:rsidP="00416B25">
      <w:pPr>
        <w:ind w:left="-284" w:right="-285"/>
        <w:jc w:val="center"/>
        <w:rPr>
          <w:rFonts w:cs="Arial"/>
          <w:szCs w:val="20"/>
        </w:rPr>
      </w:pPr>
    </w:p>
    <w:p w:rsidR="00416B25" w:rsidRPr="00E7232E" w:rsidRDefault="00416B25" w:rsidP="00416B25">
      <w:pPr>
        <w:spacing w:after="120"/>
        <w:ind w:firstLine="360"/>
        <w:jc w:val="both"/>
        <w:rPr>
          <w:b/>
          <w:sz w:val="22"/>
          <w:szCs w:val="22"/>
        </w:rPr>
      </w:pPr>
      <w:r w:rsidRPr="00E7232E">
        <w:rPr>
          <w:b/>
          <w:sz w:val="22"/>
          <w:szCs w:val="22"/>
        </w:rPr>
        <w:t>TABELA 01 – ESTIMATIVA DE PREÇO</w:t>
      </w:r>
    </w:p>
    <w:p w:rsidR="00416B25" w:rsidRPr="004D037F" w:rsidRDefault="00416B25" w:rsidP="00416B25">
      <w:pPr>
        <w:pStyle w:val="PargrafodaLista"/>
        <w:numPr>
          <w:ilvl w:val="0"/>
          <w:numId w:val="33"/>
        </w:numPr>
        <w:spacing w:after="120"/>
        <w:contextualSpacing w:val="0"/>
        <w:jc w:val="both"/>
        <w:rPr>
          <w:b/>
          <w:sz w:val="22"/>
          <w:szCs w:val="22"/>
          <w:u w:val="single"/>
        </w:rPr>
      </w:pPr>
      <w:r w:rsidRPr="004D037F">
        <w:rPr>
          <w:b/>
          <w:sz w:val="22"/>
          <w:szCs w:val="22"/>
          <w:u w:val="single"/>
        </w:rPr>
        <w:t>Itens variáveis</w:t>
      </w:r>
    </w:p>
    <w:tbl>
      <w:tblPr>
        <w:tblW w:w="8646" w:type="dxa"/>
        <w:jc w:val="center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619"/>
        <w:gridCol w:w="1235"/>
        <w:gridCol w:w="1235"/>
        <w:gridCol w:w="1235"/>
        <w:gridCol w:w="63"/>
        <w:gridCol w:w="1134"/>
        <w:gridCol w:w="38"/>
        <w:gridCol w:w="1237"/>
      </w:tblGrid>
      <w:tr w:rsidR="00416B25" w:rsidRPr="00E7232E" w:rsidTr="00C833CA">
        <w:trPr>
          <w:jc w:val="center"/>
        </w:trPr>
        <w:tc>
          <w:tcPr>
            <w:tcW w:w="850" w:type="dxa"/>
            <w:shd w:val="clear" w:color="auto" w:fill="D9D9D9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Item</w:t>
            </w:r>
          </w:p>
        </w:tc>
        <w:tc>
          <w:tcPr>
            <w:tcW w:w="1619" w:type="dxa"/>
            <w:shd w:val="clear" w:color="auto" w:fill="D9D9D9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Descrição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Tipo de ligação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Tráfego mensal estimado em minuto</w:t>
            </w:r>
            <w:r>
              <w:rPr>
                <w:b/>
                <w:szCs w:val="20"/>
              </w:rPr>
              <w:t>s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416B25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Preço unitário do minuto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(R$)</w:t>
            </w:r>
          </w:p>
        </w:tc>
        <w:tc>
          <w:tcPr>
            <w:tcW w:w="1235" w:type="dxa"/>
            <w:gridSpan w:val="3"/>
            <w:shd w:val="clear" w:color="auto" w:fill="D9D9D9"/>
            <w:vAlign w:val="center"/>
          </w:tcPr>
          <w:p w:rsidR="00416B25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Percentual de desconto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(%)</w:t>
            </w:r>
          </w:p>
        </w:tc>
        <w:tc>
          <w:tcPr>
            <w:tcW w:w="1235" w:type="dxa"/>
            <w:shd w:val="clear" w:color="auto" w:fill="D9D9D9"/>
            <w:vAlign w:val="center"/>
          </w:tcPr>
          <w:p w:rsidR="00416B25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Valor mensal com desconto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(R$)</w:t>
            </w:r>
          </w:p>
        </w:tc>
      </w:tr>
      <w:tr w:rsidR="00416B25" w:rsidRPr="00E7232E" w:rsidTr="00C833CA">
        <w:trPr>
          <w:jc w:val="center"/>
        </w:trPr>
        <w:tc>
          <w:tcPr>
            <w:tcW w:w="850" w:type="dxa"/>
            <w:vMerge w:val="restart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proofErr w:type="gramStart"/>
            <w:r w:rsidRPr="00E7232E">
              <w:rPr>
                <w:b/>
                <w:szCs w:val="20"/>
              </w:rPr>
              <w:t>1</w:t>
            </w:r>
            <w:proofErr w:type="gramEnd"/>
          </w:p>
        </w:tc>
        <w:tc>
          <w:tcPr>
            <w:tcW w:w="1619" w:type="dxa"/>
            <w:vMerge w:val="restart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Tráfego de chamadas locais</w:t>
            </w:r>
          </w:p>
        </w:tc>
        <w:tc>
          <w:tcPr>
            <w:tcW w:w="1235" w:type="dxa"/>
            <w:vAlign w:val="center"/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Default="00416B25" w:rsidP="00925D0C">
            <w:pPr>
              <w:jc w:val="center"/>
              <w:rPr>
                <w:b/>
                <w:szCs w:val="20"/>
              </w:rPr>
            </w:pPr>
            <w:proofErr w:type="gramStart"/>
            <w:r w:rsidRPr="00E7232E">
              <w:rPr>
                <w:b/>
                <w:szCs w:val="20"/>
              </w:rPr>
              <w:t>fixo</w:t>
            </w:r>
            <w:proofErr w:type="gramEnd"/>
            <w:r w:rsidRPr="00E7232E">
              <w:rPr>
                <w:b/>
                <w:szCs w:val="20"/>
              </w:rPr>
              <w:t>/fixo</w:t>
            </w: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Default="00416B25" w:rsidP="00925D0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150</w:t>
            </w: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850" w:type="dxa"/>
            <w:vMerge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619" w:type="dxa"/>
            <w:vMerge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  <w:proofErr w:type="gramStart"/>
            <w:r w:rsidRPr="00E7232E">
              <w:rPr>
                <w:b/>
                <w:szCs w:val="20"/>
              </w:rPr>
              <w:t>móvel</w:t>
            </w:r>
            <w:proofErr w:type="gramEnd"/>
            <w:r w:rsidRPr="00E7232E">
              <w:rPr>
                <w:b/>
                <w:szCs w:val="20"/>
              </w:rPr>
              <w:t xml:space="preserve"> /fixo</w:t>
            </w: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Default="00416B25" w:rsidP="00925D0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100</w:t>
            </w: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4939" w:type="dxa"/>
            <w:gridSpan w:val="4"/>
            <w:shd w:val="clear" w:color="auto" w:fill="D9D9D9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 xml:space="preserve">Total estimado para o item </w:t>
            </w:r>
            <w:proofErr w:type="gramStart"/>
            <w:r w:rsidRPr="00E7232E">
              <w:rPr>
                <w:b/>
                <w:szCs w:val="20"/>
              </w:rPr>
              <w:t>1</w:t>
            </w:r>
            <w:proofErr w:type="gramEnd"/>
          </w:p>
        </w:tc>
        <w:tc>
          <w:tcPr>
            <w:tcW w:w="1235" w:type="dxa"/>
            <w:shd w:val="clear" w:color="auto" w:fill="D9D9D9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  <w:shd w:val="clear" w:color="auto" w:fill="D9D9D9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35" w:type="dxa"/>
            <w:shd w:val="clear" w:color="auto" w:fill="D9D9D9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850" w:type="dxa"/>
            <w:vMerge w:val="restart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proofErr w:type="gramStart"/>
            <w:r w:rsidRPr="00E7232E">
              <w:rPr>
                <w:b/>
                <w:szCs w:val="20"/>
              </w:rPr>
              <w:t>2</w:t>
            </w:r>
            <w:proofErr w:type="gramEnd"/>
          </w:p>
        </w:tc>
        <w:tc>
          <w:tcPr>
            <w:tcW w:w="1619" w:type="dxa"/>
            <w:vMerge w:val="restart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 xml:space="preserve">Tráfego de chamadas </w:t>
            </w:r>
            <w:proofErr w:type="gramStart"/>
            <w:r w:rsidRPr="00E7232E">
              <w:rPr>
                <w:b/>
                <w:szCs w:val="20"/>
              </w:rPr>
              <w:t>intra-regionais</w:t>
            </w:r>
            <w:proofErr w:type="gramEnd"/>
            <w:r w:rsidRPr="00E7232E">
              <w:rPr>
                <w:b/>
                <w:szCs w:val="20"/>
              </w:rPr>
              <w:t xml:space="preserve"> e inter-regionais</w:t>
            </w:r>
          </w:p>
        </w:tc>
        <w:tc>
          <w:tcPr>
            <w:tcW w:w="1235" w:type="dxa"/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  <w:proofErr w:type="gramStart"/>
            <w:r w:rsidRPr="00E7232E">
              <w:rPr>
                <w:b/>
                <w:szCs w:val="20"/>
              </w:rPr>
              <w:t>fixo</w:t>
            </w:r>
            <w:proofErr w:type="gramEnd"/>
            <w:r w:rsidRPr="00E7232E">
              <w:rPr>
                <w:b/>
                <w:szCs w:val="20"/>
              </w:rPr>
              <w:t>/fixo</w:t>
            </w:r>
          </w:p>
          <w:p w:rsidR="00416B25" w:rsidRPr="00E7232E" w:rsidRDefault="00416B25" w:rsidP="00925D0C">
            <w:pPr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15</w:t>
            </w:r>
            <w:r w:rsidRPr="00E7232E">
              <w:rPr>
                <w:b/>
                <w:szCs w:val="20"/>
              </w:rPr>
              <w:t>0</w:t>
            </w:r>
          </w:p>
        </w:tc>
        <w:tc>
          <w:tcPr>
            <w:tcW w:w="1235" w:type="dxa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35" w:type="dxa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Default="00416B25" w:rsidP="00925D0C">
            <w:pPr>
              <w:jc w:val="center"/>
              <w:rPr>
                <w:b/>
                <w:szCs w:val="20"/>
              </w:rPr>
            </w:pPr>
            <w:proofErr w:type="gramStart"/>
            <w:r w:rsidRPr="00E7232E">
              <w:rPr>
                <w:b/>
                <w:szCs w:val="20"/>
              </w:rPr>
              <w:t>móvel</w:t>
            </w:r>
            <w:proofErr w:type="gramEnd"/>
            <w:r w:rsidRPr="00E7232E">
              <w:rPr>
                <w:b/>
                <w:szCs w:val="20"/>
              </w:rPr>
              <w:t>/fixo</w:t>
            </w: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416B25" w:rsidRDefault="00416B25" w:rsidP="00925D0C">
            <w:pPr>
              <w:jc w:val="center"/>
              <w:rPr>
                <w:b/>
                <w:szCs w:val="20"/>
              </w:rPr>
            </w:pPr>
          </w:p>
          <w:p w:rsidR="00416B25" w:rsidRPr="00E7232E" w:rsidRDefault="00416B25" w:rsidP="00925D0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10</w:t>
            </w:r>
            <w:r w:rsidRPr="00E7232E">
              <w:rPr>
                <w:b/>
                <w:szCs w:val="20"/>
              </w:rPr>
              <w:t>0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  <w:tcBorders>
              <w:bottom w:val="single" w:sz="4" w:space="0" w:color="auto"/>
            </w:tcBorders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4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 xml:space="preserve">Total estimado para o item </w:t>
            </w:r>
            <w:proofErr w:type="gramStart"/>
            <w:r w:rsidRPr="00E7232E">
              <w:rPr>
                <w:b/>
                <w:szCs w:val="20"/>
              </w:rPr>
              <w:t>2</w:t>
            </w:r>
            <w:proofErr w:type="gramEnd"/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jc w:val="right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4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 xml:space="preserve">Total estimado para os itens </w:t>
            </w:r>
            <w:proofErr w:type="gramStart"/>
            <w:r w:rsidRPr="00E7232E">
              <w:rPr>
                <w:b/>
                <w:szCs w:val="20"/>
              </w:rPr>
              <w:t>1</w:t>
            </w:r>
            <w:proofErr w:type="gramEnd"/>
            <w:r w:rsidRPr="00E7232E">
              <w:rPr>
                <w:b/>
                <w:szCs w:val="20"/>
              </w:rPr>
              <w:t xml:space="preserve"> e 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jc w:val="right"/>
              <w:rPr>
                <w:b/>
                <w:szCs w:val="20"/>
              </w:rPr>
            </w:pPr>
          </w:p>
        </w:tc>
      </w:tr>
      <w:tr w:rsidR="00416B25" w:rsidRPr="00E7232E" w:rsidTr="00C833CA">
        <w:trPr>
          <w:jc w:val="center"/>
        </w:trPr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Valor global (anual) estimado para os itens variáveis (1+2) x 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rPr>
                <w:b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16B25" w:rsidRPr="00E7232E" w:rsidRDefault="00416B25" w:rsidP="00925D0C">
            <w:pPr>
              <w:spacing w:before="60" w:after="60"/>
              <w:jc w:val="right"/>
              <w:rPr>
                <w:b/>
                <w:szCs w:val="20"/>
              </w:rPr>
            </w:pPr>
          </w:p>
        </w:tc>
      </w:tr>
    </w:tbl>
    <w:p w:rsidR="00867976" w:rsidRPr="00C833CA" w:rsidRDefault="00867976">
      <w:pPr>
        <w:spacing w:after="120"/>
        <w:jc w:val="both"/>
        <w:rPr>
          <w:b/>
          <w:sz w:val="22"/>
          <w:szCs w:val="22"/>
        </w:rPr>
      </w:pPr>
    </w:p>
    <w:p w:rsidR="00416B25" w:rsidRPr="00C833CA" w:rsidRDefault="00416B25">
      <w:pPr>
        <w:pStyle w:val="PargrafodaLista"/>
        <w:numPr>
          <w:ilvl w:val="0"/>
          <w:numId w:val="33"/>
        </w:numPr>
        <w:spacing w:after="120"/>
        <w:contextualSpacing w:val="0"/>
        <w:jc w:val="both"/>
        <w:rPr>
          <w:b/>
          <w:sz w:val="22"/>
          <w:szCs w:val="22"/>
          <w:u w:val="single"/>
        </w:rPr>
      </w:pPr>
      <w:r w:rsidRPr="00C833CA">
        <w:rPr>
          <w:b/>
          <w:sz w:val="22"/>
          <w:szCs w:val="22"/>
          <w:u w:val="single"/>
        </w:rPr>
        <w:t>Itens fixos</w:t>
      </w:r>
    </w:p>
    <w:tbl>
      <w:tblPr>
        <w:tblW w:w="8651" w:type="dxa"/>
        <w:jc w:val="center"/>
        <w:tblInd w:w="4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1787"/>
        <w:gridCol w:w="1568"/>
        <w:gridCol w:w="1276"/>
        <w:gridCol w:w="1701"/>
      </w:tblGrid>
      <w:tr w:rsidR="00416B25" w:rsidRPr="00E7232E" w:rsidTr="00C833CA">
        <w:trPr>
          <w:jc w:val="center"/>
        </w:trPr>
        <w:tc>
          <w:tcPr>
            <w:tcW w:w="2319" w:type="dxa"/>
            <w:shd w:val="clear" w:color="auto" w:fill="D9D9D9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Tipo de serviços</w:t>
            </w:r>
          </w:p>
        </w:tc>
        <w:tc>
          <w:tcPr>
            <w:tcW w:w="1787" w:type="dxa"/>
            <w:shd w:val="clear" w:color="auto" w:fill="D9D9D9"/>
            <w:vAlign w:val="center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Quantidades de linhas telefônicas</w:t>
            </w:r>
          </w:p>
        </w:tc>
        <w:tc>
          <w:tcPr>
            <w:tcW w:w="1568" w:type="dxa"/>
            <w:shd w:val="clear" w:color="auto" w:fill="D9D9D9"/>
            <w:vAlign w:val="center"/>
          </w:tcPr>
          <w:p w:rsidR="00416B25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Preço unitário mensal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(R$)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16B25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Percentual de desconto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(%)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16B25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Valor mensal com desconto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(R$)</w:t>
            </w:r>
          </w:p>
        </w:tc>
      </w:tr>
      <w:tr w:rsidR="00416B25" w:rsidRPr="00E7232E" w:rsidTr="00C833CA">
        <w:trPr>
          <w:jc w:val="center"/>
        </w:trPr>
        <w:tc>
          <w:tcPr>
            <w:tcW w:w="2319" w:type="dxa"/>
          </w:tcPr>
          <w:p w:rsidR="00416B25" w:rsidRPr="00E7232E" w:rsidRDefault="00416B25" w:rsidP="00925D0C">
            <w:pPr>
              <w:spacing w:after="120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Assinatura 0800, reenca</w:t>
            </w:r>
            <w:r>
              <w:rPr>
                <w:b/>
                <w:szCs w:val="20"/>
              </w:rPr>
              <w:t>minhamento de chamadas CO, LO e</w:t>
            </w:r>
            <w:r w:rsidRPr="00E7232E">
              <w:rPr>
                <w:b/>
                <w:szCs w:val="20"/>
              </w:rPr>
              <w:t xml:space="preserve">/ou NR e </w:t>
            </w:r>
            <w:r w:rsidRPr="00CE56DA">
              <w:rPr>
                <w:b/>
                <w:szCs w:val="20"/>
              </w:rPr>
              <w:t xml:space="preserve">desvio </w:t>
            </w:r>
            <w:r w:rsidRPr="004B6FA1">
              <w:rPr>
                <w:b/>
                <w:szCs w:val="20"/>
              </w:rPr>
              <w:t>de chamadas (Rede Inteligente).</w:t>
            </w:r>
          </w:p>
        </w:tc>
        <w:tc>
          <w:tcPr>
            <w:tcW w:w="1787" w:type="dxa"/>
          </w:tcPr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  <w:r w:rsidRPr="00E7232E">
              <w:rPr>
                <w:b/>
                <w:szCs w:val="20"/>
              </w:rPr>
              <w:t>01</w:t>
            </w:r>
          </w:p>
          <w:p w:rsidR="00416B25" w:rsidRPr="00E7232E" w:rsidRDefault="00416B25" w:rsidP="00925D0C">
            <w:pPr>
              <w:spacing w:after="120"/>
              <w:jc w:val="center"/>
              <w:rPr>
                <w:b/>
                <w:szCs w:val="20"/>
              </w:rPr>
            </w:pPr>
          </w:p>
        </w:tc>
        <w:tc>
          <w:tcPr>
            <w:tcW w:w="1568" w:type="dxa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276" w:type="dxa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  <w:tc>
          <w:tcPr>
            <w:tcW w:w="1701" w:type="dxa"/>
          </w:tcPr>
          <w:p w:rsidR="00416B25" w:rsidRPr="00E7232E" w:rsidRDefault="00416B25" w:rsidP="00925D0C">
            <w:pPr>
              <w:spacing w:after="120"/>
              <w:jc w:val="both"/>
              <w:rPr>
                <w:b/>
                <w:szCs w:val="20"/>
              </w:rPr>
            </w:pPr>
          </w:p>
        </w:tc>
      </w:tr>
    </w:tbl>
    <w:p w:rsidR="00416B25" w:rsidRDefault="00416B25" w:rsidP="00416B25"/>
    <w:p w:rsidR="00416B25" w:rsidRDefault="00416B25" w:rsidP="00416B25"/>
    <w:tbl>
      <w:tblPr>
        <w:tblStyle w:val="Tabelacomgrade"/>
        <w:tblW w:w="8620" w:type="dxa"/>
        <w:jc w:val="center"/>
        <w:tblInd w:w="367" w:type="dxa"/>
        <w:tblLook w:val="04A0" w:firstRow="1" w:lastRow="0" w:firstColumn="1" w:lastColumn="0" w:noHBand="0" w:noVBand="1"/>
      </w:tblPr>
      <w:tblGrid>
        <w:gridCol w:w="6942"/>
        <w:gridCol w:w="1678"/>
      </w:tblGrid>
      <w:tr w:rsidR="00416B25" w:rsidTr="00C833CA">
        <w:trPr>
          <w:jc w:val="center"/>
        </w:trPr>
        <w:tc>
          <w:tcPr>
            <w:tcW w:w="6942" w:type="dxa"/>
            <w:shd w:val="clear" w:color="auto" w:fill="D9D9D9" w:themeFill="background1" w:themeFillShade="D9"/>
            <w:vAlign w:val="center"/>
          </w:tcPr>
          <w:p w:rsidR="00416B25" w:rsidRPr="00847875" w:rsidRDefault="00416B25" w:rsidP="00925D0C">
            <w:pPr>
              <w:spacing w:before="60" w:after="60"/>
              <w:rPr>
                <w:b/>
                <w:szCs w:val="20"/>
              </w:rPr>
            </w:pPr>
            <w:r w:rsidRPr="00847875">
              <w:rPr>
                <w:b/>
                <w:szCs w:val="20"/>
              </w:rPr>
              <w:t>Total mensal</w:t>
            </w:r>
            <w:r>
              <w:rPr>
                <w:b/>
                <w:szCs w:val="20"/>
              </w:rPr>
              <w:t xml:space="preserve"> estimado para os itens fixos</w:t>
            </w: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:rsidR="00416B25" w:rsidRPr="00847875" w:rsidRDefault="00416B25" w:rsidP="00925D0C">
            <w:pPr>
              <w:spacing w:before="60" w:after="60"/>
              <w:jc w:val="right"/>
              <w:rPr>
                <w:b/>
                <w:szCs w:val="20"/>
              </w:rPr>
            </w:pPr>
          </w:p>
        </w:tc>
      </w:tr>
      <w:tr w:rsidR="00416B25" w:rsidTr="00C833CA">
        <w:trPr>
          <w:jc w:val="center"/>
        </w:trPr>
        <w:tc>
          <w:tcPr>
            <w:tcW w:w="6942" w:type="dxa"/>
            <w:shd w:val="clear" w:color="auto" w:fill="D9D9D9" w:themeFill="background1" w:themeFillShade="D9"/>
            <w:vAlign w:val="center"/>
          </w:tcPr>
          <w:p w:rsidR="00416B25" w:rsidRPr="00847875" w:rsidRDefault="00416B25" w:rsidP="00925D0C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Valor global (anual) estimado para os itens fixos</w:t>
            </w: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:rsidR="00416B25" w:rsidRPr="00847875" w:rsidRDefault="00416B25" w:rsidP="00925D0C">
            <w:pPr>
              <w:spacing w:before="60" w:after="60"/>
              <w:jc w:val="right"/>
              <w:rPr>
                <w:b/>
                <w:szCs w:val="20"/>
              </w:rPr>
            </w:pPr>
          </w:p>
        </w:tc>
      </w:tr>
      <w:tr w:rsidR="00867976" w:rsidTr="00C833CA">
        <w:trPr>
          <w:jc w:val="center"/>
        </w:trPr>
        <w:tc>
          <w:tcPr>
            <w:tcW w:w="6942" w:type="dxa"/>
            <w:shd w:val="clear" w:color="auto" w:fill="D9D9D9" w:themeFill="background1" w:themeFillShade="D9"/>
            <w:vAlign w:val="center"/>
          </w:tcPr>
          <w:p w:rsidR="00867976" w:rsidRDefault="00867976" w:rsidP="00925D0C">
            <w:pPr>
              <w:spacing w:before="60" w:after="60"/>
              <w:rPr>
                <w:b/>
                <w:szCs w:val="20"/>
              </w:rPr>
            </w:pPr>
            <w:r>
              <w:rPr>
                <w:b/>
                <w:szCs w:val="20"/>
              </w:rPr>
              <w:t>Valor global estimado para contratação (itens variáveis + Itens fixos)</w:t>
            </w:r>
          </w:p>
        </w:tc>
        <w:tc>
          <w:tcPr>
            <w:tcW w:w="1678" w:type="dxa"/>
            <w:shd w:val="clear" w:color="auto" w:fill="D9D9D9" w:themeFill="background1" w:themeFillShade="D9"/>
            <w:vAlign w:val="center"/>
          </w:tcPr>
          <w:p w:rsidR="00867976" w:rsidRPr="00847875" w:rsidRDefault="00867976" w:rsidP="00925D0C">
            <w:pPr>
              <w:spacing w:before="60" w:after="60"/>
              <w:jc w:val="right"/>
              <w:rPr>
                <w:b/>
                <w:szCs w:val="20"/>
              </w:rPr>
            </w:pPr>
          </w:p>
        </w:tc>
      </w:tr>
    </w:tbl>
    <w:p w:rsidR="00416B25" w:rsidRPr="0059185A" w:rsidRDefault="00416B25" w:rsidP="00416B25">
      <w:pPr>
        <w:ind w:left="-284" w:right="-285"/>
        <w:jc w:val="center"/>
        <w:rPr>
          <w:rFonts w:cs="Arial"/>
          <w:szCs w:val="20"/>
        </w:rPr>
      </w:pPr>
    </w:p>
    <w:sectPr w:rsidR="00416B25" w:rsidRPr="0059185A" w:rsidSect="0027540B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A34" w:rsidRDefault="00AD5A34">
      <w:r>
        <w:separator/>
      </w:r>
    </w:p>
  </w:endnote>
  <w:endnote w:type="continuationSeparator" w:id="0">
    <w:p w:rsidR="00AD5A34" w:rsidRDefault="00AD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A34" w:rsidRDefault="00AD5A34">
      <w:r>
        <w:separator/>
      </w:r>
    </w:p>
  </w:footnote>
  <w:footnote w:type="continuationSeparator" w:id="0">
    <w:p w:rsidR="00AD5A34" w:rsidRDefault="00AD5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5C6745A"/>
    <w:multiLevelType w:val="hybridMultilevel"/>
    <w:tmpl w:val="F426F1E6"/>
    <w:lvl w:ilvl="0" w:tplc="CCA2DF88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>
    <w:nsid w:val="1D5C100D"/>
    <w:multiLevelType w:val="multilevel"/>
    <w:tmpl w:val="1BF86E10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1F26792"/>
    <w:multiLevelType w:val="multilevel"/>
    <w:tmpl w:val="39BEAB8A"/>
    <w:lvl w:ilvl="0">
      <w:start w:val="2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17">
    <w:nsid w:val="256A02BA"/>
    <w:multiLevelType w:val="multilevel"/>
    <w:tmpl w:val="953A6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52" w:hanging="1800"/>
      </w:pPr>
      <w:rPr>
        <w:rFonts w:hint="default"/>
      </w:rPr>
    </w:lvl>
  </w:abstractNum>
  <w:abstractNum w:abstractNumId="18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1">
    <w:nsid w:val="397500EC"/>
    <w:multiLevelType w:val="multilevel"/>
    <w:tmpl w:val="016A97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96" w:hanging="1800"/>
      </w:pPr>
      <w:rPr>
        <w:rFonts w:hint="default"/>
      </w:rPr>
    </w:lvl>
  </w:abstractNum>
  <w:abstractNum w:abstractNumId="22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3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3BFA2EE9"/>
    <w:multiLevelType w:val="hybridMultilevel"/>
    <w:tmpl w:val="21DC3B3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6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5A2C0733"/>
    <w:multiLevelType w:val="hybridMultilevel"/>
    <w:tmpl w:val="8E362EB8"/>
    <w:lvl w:ilvl="0" w:tplc="A678C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786968">
      <w:numFmt w:val="none"/>
      <w:lvlText w:val=""/>
      <w:lvlJc w:val="left"/>
      <w:pPr>
        <w:tabs>
          <w:tab w:val="num" w:pos="360"/>
        </w:tabs>
      </w:pPr>
    </w:lvl>
    <w:lvl w:ilvl="2" w:tplc="450070C4">
      <w:numFmt w:val="none"/>
      <w:lvlText w:val=""/>
      <w:lvlJc w:val="left"/>
      <w:pPr>
        <w:tabs>
          <w:tab w:val="num" w:pos="360"/>
        </w:tabs>
      </w:pPr>
    </w:lvl>
    <w:lvl w:ilvl="3" w:tplc="A5E261D0">
      <w:numFmt w:val="none"/>
      <w:lvlText w:val=""/>
      <w:lvlJc w:val="left"/>
      <w:pPr>
        <w:tabs>
          <w:tab w:val="num" w:pos="360"/>
        </w:tabs>
      </w:pPr>
    </w:lvl>
    <w:lvl w:ilvl="4" w:tplc="E3BC41C6">
      <w:numFmt w:val="none"/>
      <w:lvlText w:val=""/>
      <w:lvlJc w:val="left"/>
      <w:pPr>
        <w:tabs>
          <w:tab w:val="num" w:pos="360"/>
        </w:tabs>
      </w:pPr>
    </w:lvl>
    <w:lvl w:ilvl="5" w:tplc="AE3A7D5E">
      <w:numFmt w:val="none"/>
      <w:lvlText w:val=""/>
      <w:lvlJc w:val="left"/>
      <w:pPr>
        <w:tabs>
          <w:tab w:val="num" w:pos="360"/>
        </w:tabs>
      </w:pPr>
    </w:lvl>
    <w:lvl w:ilvl="6" w:tplc="122A2F36">
      <w:numFmt w:val="none"/>
      <w:lvlText w:val=""/>
      <w:lvlJc w:val="left"/>
      <w:pPr>
        <w:tabs>
          <w:tab w:val="num" w:pos="360"/>
        </w:tabs>
      </w:pPr>
    </w:lvl>
    <w:lvl w:ilvl="7" w:tplc="9DA0AE3A">
      <w:numFmt w:val="none"/>
      <w:lvlText w:val=""/>
      <w:lvlJc w:val="left"/>
      <w:pPr>
        <w:tabs>
          <w:tab w:val="num" w:pos="360"/>
        </w:tabs>
      </w:pPr>
    </w:lvl>
    <w:lvl w:ilvl="8" w:tplc="7332B864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1D9065B"/>
    <w:multiLevelType w:val="multilevel"/>
    <w:tmpl w:val="F798494A"/>
    <w:lvl w:ilvl="0">
      <w:start w:val="22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1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11F0DFB"/>
    <w:multiLevelType w:val="multilevel"/>
    <w:tmpl w:val="E82C94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3">
    <w:nsid w:val="74CD1FC1"/>
    <w:multiLevelType w:val="multilevel"/>
    <w:tmpl w:val="E3ACEAAE"/>
    <w:lvl w:ilvl="0">
      <w:start w:val="1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4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8"/>
  </w:num>
  <w:num w:numId="5">
    <w:abstractNumId w:val="12"/>
  </w:num>
  <w:num w:numId="6">
    <w:abstractNumId w:val="25"/>
  </w:num>
  <w:num w:numId="7">
    <w:abstractNumId w:val="20"/>
  </w:num>
  <w:num w:numId="8">
    <w:abstractNumId w:val="22"/>
  </w:num>
  <w:num w:numId="9">
    <w:abstractNumId w:val="26"/>
  </w:num>
  <w:num w:numId="10">
    <w:abstractNumId w:val="10"/>
  </w:num>
  <w:num w:numId="11">
    <w:abstractNumId w:val="23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18"/>
  </w:num>
  <w:num w:numId="15">
    <w:abstractNumId w:val="19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7"/>
  </w:num>
  <w:num w:numId="30">
    <w:abstractNumId w:val="33"/>
  </w:num>
  <w:num w:numId="31">
    <w:abstractNumId w:val="16"/>
  </w:num>
  <w:num w:numId="32">
    <w:abstractNumId w:val="30"/>
  </w:num>
  <w:num w:numId="33">
    <w:abstractNumId w:val="24"/>
  </w:num>
  <w:num w:numId="34">
    <w:abstractNumId w:val="29"/>
  </w:num>
  <w:num w:numId="35">
    <w:abstractNumId w:val="32"/>
  </w:num>
  <w:num w:numId="36">
    <w:abstractNumId w:val="17"/>
  </w:num>
  <w:num w:numId="37">
    <w:abstractNumId w:val="21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E5"/>
    <w:rsid w:val="0000236D"/>
    <w:rsid w:val="00003298"/>
    <w:rsid w:val="00016C16"/>
    <w:rsid w:val="0002260C"/>
    <w:rsid w:val="0002306D"/>
    <w:rsid w:val="000242C8"/>
    <w:rsid w:val="00025749"/>
    <w:rsid w:val="00027155"/>
    <w:rsid w:val="000318BA"/>
    <w:rsid w:val="000328BE"/>
    <w:rsid w:val="00034A29"/>
    <w:rsid w:val="0003739C"/>
    <w:rsid w:val="00040957"/>
    <w:rsid w:val="00047D73"/>
    <w:rsid w:val="00056433"/>
    <w:rsid w:val="00060414"/>
    <w:rsid w:val="00062853"/>
    <w:rsid w:val="00063028"/>
    <w:rsid w:val="0006537A"/>
    <w:rsid w:val="000670EC"/>
    <w:rsid w:val="000677A2"/>
    <w:rsid w:val="00070EA5"/>
    <w:rsid w:val="000754FA"/>
    <w:rsid w:val="00076CBC"/>
    <w:rsid w:val="000779C7"/>
    <w:rsid w:val="00081098"/>
    <w:rsid w:val="00087EF2"/>
    <w:rsid w:val="000904B4"/>
    <w:rsid w:val="00090F5D"/>
    <w:rsid w:val="00092759"/>
    <w:rsid w:val="00093D8F"/>
    <w:rsid w:val="00094321"/>
    <w:rsid w:val="000A102A"/>
    <w:rsid w:val="000A1A7B"/>
    <w:rsid w:val="000A1B88"/>
    <w:rsid w:val="000A23DA"/>
    <w:rsid w:val="000A674F"/>
    <w:rsid w:val="000B73D9"/>
    <w:rsid w:val="000B7B55"/>
    <w:rsid w:val="000C123B"/>
    <w:rsid w:val="000C21AD"/>
    <w:rsid w:val="000C2C16"/>
    <w:rsid w:val="000C3FC0"/>
    <w:rsid w:val="000C670A"/>
    <w:rsid w:val="000D2AC3"/>
    <w:rsid w:val="000E4694"/>
    <w:rsid w:val="000F1C1C"/>
    <w:rsid w:val="000F2780"/>
    <w:rsid w:val="000F4088"/>
    <w:rsid w:val="000F4F96"/>
    <w:rsid w:val="000F5A07"/>
    <w:rsid w:val="000F6661"/>
    <w:rsid w:val="00100990"/>
    <w:rsid w:val="00105707"/>
    <w:rsid w:val="001063C4"/>
    <w:rsid w:val="001075EF"/>
    <w:rsid w:val="001103FF"/>
    <w:rsid w:val="00113EEB"/>
    <w:rsid w:val="00114259"/>
    <w:rsid w:val="001202B3"/>
    <w:rsid w:val="001219B0"/>
    <w:rsid w:val="00124990"/>
    <w:rsid w:val="00126E1D"/>
    <w:rsid w:val="001304C0"/>
    <w:rsid w:val="001315F2"/>
    <w:rsid w:val="00132DCC"/>
    <w:rsid w:val="00132EBC"/>
    <w:rsid w:val="00133136"/>
    <w:rsid w:val="001377C7"/>
    <w:rsid w:val="0014004B"/>
    <w:rsid w:val="0014325E"/>
    <w:rsid w:val="001433FD"/>
    <w:rsid w:val="001449A3"/>
    <w:rsid w:val="00146A23"/>
    <w:rsid w:val="00146BDF"/>
    <w:rsid w:val="00147237"/>
    <w:rsid w:val="001516EA"/>
    <w:rsid w:val="00153E25"/>
    <w:rsid w:val="00154505"/>
    <w:rsid w:val="0015684D"/>
    <w:rsid w:val="00160279"/>
    <w:rsid w:val="00160BBD"/>
    <w:rsid w:val="00160DA4"/>
    <w:rsid w:val="00161E25"/>
    <w:rsid w:val="0016584A"/>
    <w:rsid w:val="001671BF"/>
    <w:rsid w:val="00170CE1"/>
    <w:rsid w:val="0017131C"/>
    <w:rsid w:val="00171BD1"/>
    <w:rsid w:val="00174CAA"/>
    <w:rsid w:val="001763D0"/>
    <w:rsid w:val="00177327"/>
    <w:rsid w:val="001778EF"/>
    <w:rsid w:val="00177CD5"/>
    <w:rsid w:val="001817D2"/>
    <w:rsid w:val="00183B3B"/>
    <w:rsid w:val="00184086"/>
    <w:rsid w:val="00185294"/>
    <w:rsid w:val="001904A8"/>
    <w:rsid w:val="00196832"/>
    <w:rsid w:val="001A1732"/>
    <w:rsid w:val="001A2CE9"/>
    <w:rsid w:val="001A3A05"/>
    <w:rsid w:val="001A3E18"/>
    <w:rsid w:val="001B005B"/>
    <w:rsid w:val="001C2192"/>
    <w:rsid w:val="001C26F5"/>
    <w:rsid w:val="001C3369"/>
    <w:rsid w:val="001C3F32"/>
    <w:rsid w:val="001C48B6"/>
    <w:rsid w:val="001C4C04"/>
    <w:rsid w:val="001C694F"/>
    <w:rsid w:val="001C721E"/>
    <w:rsid w:val="001D0D66"/>
    <w:rsid w:val="001D287D"/>
    <w:rsid w:val="001E3AAF"/>
    <w:rsid w:val="001F0A6E"/>
    <w:rsid w:val="001F39FA"/>
    <w:rsid w:val="00202A04"/>
    <w:rsid w:val="00202D3A"/>
    <w:rsid w:val="00205197"/>
    <w:rsid w:val="0020593D"/>
    <w:rsid w:val="00206F5F"/>
    <w:rsid w:val="00207B98"/>
    <w:rsid w:val="00210001"/>
    <w:rsid w:val="0021106D"/>
    <w:rsid w:val="00215250"/>
    <w:rsid w:val="00220DD5"/>
    <w:rsid w:val="002219AD"/>
    <w:rsid w:val="00221BA5"/>
    <w:rsid w:val="00222980"/>
    <w:rsid w:val="002241A2"/>
    <w:rsid w:val="002262CB"/>
    <w:rsid w:val="00231E9C"/>
    <w:rsid w:val="00233F73"/>
    <w:rsid w:val="002367E6"/>
    <w:rsid w:val="00240B17"/>
    <w:rsid w:val="00241D78"/>
    <w:rsid w:val="00241F3C"/>
    <w:rsid w:val="00246DAE"/>
    <w:rsid w:val="0025379F"/>
    <w:rsid w:val="002538B4"/>
    <w:rsid w:val="002538E3"/>
    <w:rsid w:val="00255C24"/>
    <w:rsid w:val="00256532"/>
    <w:rsid w:val="00260802"/>
    <w:rsid w:val="0026386A"/>
    <w:rsid w:val="00263B20"/>
    <w:rsid w:val="00267125"/>
    <w:rsid w:val="00267B22"/>
    <w:rsid w:val="00271CB6"/>
    <w:rsid w:val="0027301A"/>
    <w:rsid w:val="0027540B"/>
    <w:rsid w:val="00276ECC"/>
    <w:rsid w:val="0028055B"/>
    <w:rsid w:val="0028765E"/>
    <w:rsid w:val="0029037D"/>
    <w:rsid w:val="002937D4"/>
    <w:rsid w:val="00297CA7"/>
    <w:rsid w:val="002A1702"/>
    <w:rsid w:val="002A17E4"/>
    <w:rsid w:val="002A304F"/>
    <w:rsid w:val="002B5882"/>
    <w:rsid w:val="002C1298"/>
    <w:rsid w:val="002C3609"/>
    <w:rsid w:val="002C54C1"/>
    <w:rsid w:val="002D656F"/>
    <w:rsid w:val="002D6C54"/>
    <w:rsid w:val="002D78B4"/>
    <w:rsid w:val="002D7C8E"/>
    <w:rsid w:val="002E160F"/>
    <w:rsid w:val="002E1F8D"/>
    <w:rsid w:val="002E38F2"/>
    <w:rsid w:val="002E39D7"/>
    <w:rsid w:val="002E3F91"/>
    <w:rsid w:val="002E480D"/>
    <w:rsid w:val="002E5F6B"/>
    <w:rsid w:val="002F084D"/>
    <w:rsid w:val="002F2B0F"/>
    <w:rsid w:val="002F308B"/>
    <w:rsid w:val="002F409D"/>
    <w:rsid w:val="002F4306"/>
    <w:rsid w:val="003053DD"/>
    <w:rsid w:val="00310B4A"/>
    <w:rsid w:val="003114E4"/>
    <w:rsid w:val="00317871"/>
    <w:rsid w:val="003238C3"/>
    <w:rsid w:val="00324BCD"/>
    <w:rsid w:val="00324F30"/>
    <w:rsid w:val="00325023"/>
    <w:rsid w:val="00325FD8"/>
    <w:rsid w:val="003265B9"/>
    <w:rsid w:val="00327232"/>
    <w:rsid w:val="00331182"/>
    <w:rsid w:val="00336724"/>
    <w:rsid w:val="00340EE0"/>
    <w:rsid w:val="00343032"/>
    <w:rsid w:val="003464AF"/>
    <w:rsid w:val="0034689B"/>
    <w:rsid w:val="0035658A"/>
    <w:rsid w:val="00364141"/>
    <w:rsid w:val="00364909"/>
    <w:rsid w:val="00367EF6"/>
    <w:rsid w:val="00372708"/>
    <w:rsid w:val="00373F2A"/>
    <w:rsid w:val="003779A2"/>
    <w:rsid w:val="0038139C"/>
    <w:rsid w:val="00383C2C"/>
    <w:rsid w:val="00384EC7"/>
    <w:rsid w:val="00386157"/>
    <w:rsid w:val="00386ADE"/>
    <w:rsid w:val="00391E14"/>
    <w:rsid w:val="00392BAA"/>
    <w:rsid w:val="00393E14"/>
    <w:rsid w:val="003959F6"/>
    <w:rsid w:val="003A3423"/>
    <w:rsid w:val="003A3846"/>
    <w:rsid w:val="003A73C1"/>
    <w:rsid w:val="003A7785"/>
    <w:rsid w:val="003B791E"/>
    <w:rsid w:val="003C25D1"/>
    <w:rsid w:val="003C609E"/>
    <w:rsid w:val="003C6275"/>
    <w:rsid w:val="003C76AD"/>
    <w:rsid w:val="003E254F"/>
    <w:rsid w:val="003E4927"/>
    <w:rsid w:val="003E49E4"/>
    <w:rsid w:val="003E4D76"/>
    <w:rsid w:val="003E55B1"/>
    <w:rsid w:val="003E6E23"/>
    <w:rsid w:val="003F004A"/>
    <w:rsid w:val="003F1437"/>
    <w:rsid w:val="003F185C"/>
    <w:rsid w:val="003F36A3"/>
    <w:rsid w:val="003F4BDF"/>
    <w:rsid w:val="003F6FE5"/>
    <w:rsid w:val="00403E13"/>
    <w:rsid w:val="0040443F"/>
    <w:rsid w:val="004053E1"/>
    <w:rsid w:val="00407F1C"/>
    <w:rsid w:val="00415F27"/>
    <w:rsid w:val="00416A59"/>
    <w:rsid w:val="00416B25"/>
    <w:rsid w:val="00417CA8"/>
    <w:rsid w:val="0042190C"/>
    <w:rsid w:val="00425359"/>
    <w:rsid w:val="004316D7"/>
    <w:rsid w:val="00431EDA"/>
    <w:rsid w:val="0043231C"/>
    <w:rsid w:val="00432470"/>
    <w:rsid w:val="00435266"/>
    <w:rsid w:val="00435447"/>
    <w:rsid w:val="00441EA1"/>
    <w:rsid w:val="004451CF"/>
    <w:rsid w:val="00445798"/>
    <w:rsid w:val="0044725C"/>
    <w:rsid w:val="00447465"/>
    <w:rsid w:val="00452F56"/>
    <w:rsid w:val="00455CBE"/>
    <w:rsid w:val="00455EB7"/>
    <w:rsid w:val="00455FD5"/>
    <w:rsid w:val="00460E8A"/>
    <w:rsid w:val="00461196"/>
    <w:rsid w:val="0046230A"/>
    <w:rsid w:val="00462C95"/>
    <w:rsid w:val="004631A0"/>
    <w:rsid w:val="0046486A"/>
    <w:rsid w:val="00470F05"/>
    <w:rsid w:val="00476D90"/>
    <w:rsid w:val="004773FC"/>
    <w:rsid w:val="00480328"/>
    <w:rsid w:val="00481B5F"/>
    <w:rsid w:val="004834FC"/>
    <w:rsid w:val="00483B15"/>
    <w:rsid w:val="00483FB9"/>
    <w:rsid w:val="00484764"/>
    <w:rsid w:val="00486123"/>
    <w:rsid w:val="00494AE7"/>
    <w:rsid w:val="00497BAF"/>
    <w:rsid w:val="004A5ABF"/>
    <w:rsid w:val="004A7C2F"/>
    <w:rsid w:val="004B05B0"/>
    <w:rsid w:val="004B0CAC"/>
    <w:rsid w:val="004B19B5"/>
    <w:rsid w:val="004B1D7D"/>
    <w:rsid w:val="004B460A"/>
    <w:rsid w:val="004B5DB8"/>
    <w:rsid w:val="004C0212"/>
    <w:rsid w:val="004C05F9"/>
    <w:rsid w:val="004C544B"/>
    <w:rsid w:val="004C6669"/>
    <w:rsid w:val="004D4F5B"/>
    <w:rsid w:val="004D54C9"/>
    <w:rsid w:val="004E0194"/>
    <w:rsid w:val="004E7BEB"/>
    <w:rsid w:val="004F50BC"/>
    <w:rsid w:val="004F5DF9"/>
    <w:rsid w:val="004F66B4"/>
    <w:rsid w:val="004F78C6"/>
    <w:rsid w:val="005019BE"/>
    <w:rsid w:val="0050224C"/>
    <w:rsid w:val="00503073"/>
    <w:rsid w:val="005037A6"/>
    <w:rsid w:val="0050489B"/>
    <w:rsid w:val="005075C8"/>
    <w:rsid w:val="00512D53"/>
    <w:rsid w:val="00514883"/>
    <w:rsid w:val="00514DF0"/>
    <w:rsid w:val="00515F46"/>
    <w:rsid w:val="0051788C"/>
    <w:rsid w:val="00520AD6"/>
    <w:rsid w:val="00523C55"/>
    <w:rsid w:val="00523F32"/>
    <w:rsid w:val="00530489"/>
    <w:rsid w:val="0053132E"/>
    <w:rsid w:val="00545169"/>
    <w:rsid w:val="0055045F"/>
    <w:rsid w:val="00554E54"/>
    <w:rsid w:val="00561C04"/>
    <w:rsid w:val="0056213B"/>
    <w:rsid w:val="00562F82"/>
    <w:rsid w:val="00564913"/>
    <w:rsid w:val="00566D70"/>
    <w:rsid w:val="00571644"/>
    <w:rsid w:val="00573100"/>
    <w:rsid w:val="00577C4E"/>
    <w:rsid w:val="005800D8"/>
    <w:rsid w:val="005813F4"/>
    <w:rsid w:val="005846C9"/>
    <w:rsid w:val="005873FC"/>
    <w:rsid w:val="00587439"/>
    <w:rsid w:val="00590EAF"/>
    <w:rsid w:val="0059185A"/>
    <w:rsid w:val="00595799"/>
    <w:rsid w:val="0059590D"/>
    <w:rsid w:val="00595DA6"/>
    <w:rsid w:val="00597DB4"/>
    <w:rsid w:val="005A3429"/>
    <w:rsid w:val="005A3BE7"/>
    <w:rsid w:val="005A6540"/>
    <w:rsid w:val="005A6A91"/>
    <w:rsid w:val="005A7F4A"/>
    <w:rsid w:val="005B0066"/>
    <w:rsid w:val="005B1D0B"/>
    <w:rsid w:val="005B2725"/>
    <w:rsid w:val="005C3930"/>
    <w:rsid w:val="005C48E3"/>
    <w:rsid w:val="005C5615"/>
    <w:rsid w:val="005C76D8"/>
    <w:rsid w:val="005D3F36"/>
    <w:rsid w:val="005D53E6"/>
    <w:rsid w:val="005E0DFF"/>
    <w:rsid w:val="005E1321"/>
    <w:rsid w:val="005E2DD4"/>
    <w:rsid w:val="005E5F39"/>
    <w:rsid w:val="005E6D43"/>
    <w:rsid w:val="005F541D"/>
    <w:rsid w:val="005F6F64"/>
    <w:rsid w:val="005F7B0A"/>
    <w:rsid w:val="005F7E84"/>
    <w:rsid w:val="00601811"/>
    <w:rsid w:val="00602976"/>
    <w:rsid w:val="00605C11"/>
    <w:rsid w:val="00606440"/>
    <w:rsid w:val="006078C2"/>
    <w:rsid w:val="00612867"/>
    <w:rsid w:val="00613864"/>
    <w:rsid w:val="0061680E"/>
    <w:rsid w:val="006171A9"/>
    <w:rsid w:val="006177B7"/>
    <w:rsid w:val="00623436"/>
    <w:rsid w:val="0063363D"/>
    <w:rsid w:val="006358C1"/>
    <w:rsid w:val="00637C55"/>
    <w:rsid w:val="00640F39"/>
    <w:rsid w:val="00643EB7"/>
    <w:rsid w:val="00651A83"/>
    <w:rsid w:val="00655AAF"/>
    <w:rsid w:val="00656A30"/>
    <w:rsid w:val="00660E33"/>
    <w:rsid w:val="006673E7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5F42"/>
    <w:rsid w:val="006A6103"/>
    <w:rsid w:val="006B10ED"/>
    <w:rsid w:val="006B156A"/>
    <w:rsid w:val="006B51B2"/>
    <w:rsid w:val="006C17A0"/>
    <w:rsid w:val="006C6837"/>
    <w:rsid w:val="006D27E3"/>
    <w:rsid w:val="006D4135"/>
    <w:rsid w:val="006D5919"/>
    <w:rsid w:val="006E09F2"/>
    <w:rsid w:val="006E3E48"/>
    <w:rsid w:val="006E580B"/>
    <w:rsid w:val="006E5E85"/>
    <w:rsid w:val="006E721C"/>
    <w:rsid w:val="006F3EE2"/>
    <w:rsid w:val="00700CBD"/>
    <w:rsid w:val="007028C7"/>
    <w:rsid w:val="00704462"/>
    <w:rsid w:val="0070588C"/>
    <w:rsid w:val="00710C7E"/>
    <w:rsid w:val="00712545"/>
    <w:rsid w:val="00715F00"/>
    <w:rsid w:val="00716D4B"/>
    <w:rsid w:val="00733DE0"/>
    <w:rsid w:val="007357C5"/>
    <w:rsid w:val="00736391"/>
    <w:rsid w:val="0074032D"/>
    <w:rsid w:val="00740D25"/>
    <w:rsid w:val="00741328"/>
    <w:rsid w:val="00742F19"/>
    <w:rsid w:val="007442B0"/>
    <w:rsid w:val="00756F76"/>
    <w:rsid w:val="00765562"/>
    <w:rsid w:val="00765B14"/>
    <w:rsid w:val="00767106"/>
    <w:rsid w:val="007679B9"/>
    <w:rsid w:val="00776572"/>
    <w:rsid w:val="0077738D"/>
    <w:rsid w:val="007774C2"/>
    <w:rsid w:val="00777570"/>
    <w:rsid w:val="00777D8C"/>
    <w:rsid w:val="0078157D"/>
    <w:rsid w:val="00784A83"/>
    <w:rsid w:val="00784F62"/>
    <w:rsid w:val="00787D28"/>
    <w:rsid w:val="0079000C"/>
    <w:rsid w:val="00790D93"/>
    <w:rsid w:val="00791CD7"/>
    <w:rsid w:val="0079430D"/>
    <w:rsid w:val="0079754C"/>
    <w:rsid w:val="007A1395"/>
    <w:rsid w:val="007B19CE"/>
    <w:rsid w:val="007B4A7C"/>
    <w:rsid w:val="007B7C23"/>
    <w:rsid w:val="007C0255"/>
    <w:rsid w:val="007C09C8"/>
    <w:rsid w:val="007C0C22"/>
    <w:rsid w:val="007C13ED"/>
    <w:rsid w:val="007C2707"/>
    <w:rsid w:val="007D3572"/>
    <w:rsid w:val="007D4404"/>
    <w:rsid w:val="007D501A"/>
    <w:rsid w:val="007E26AF"/>
    <w:rsid w:val="007E3353"/>
    <w:rsid w:val="007E3F65"/>
    <w:rsid w:val="007E5253"/>
    <w:rsid w:val="007E57A5"/>
    <w:rsid w:val="007E585A"/>
    <w:rsid w:val="007E68F6"/>
    <w:rsid w:val="007E6EF9"/>
    <w:rsid w:val="007F0511"/>
    <w:rsid w:val="007F1D84"/>
    <w:rsid w:val="007F2AE5"/>
    <w:rsid w:val="007F6AB0"/>
    <w:rsid w:val="00801641"/>
    <w:rsid w:val="00801FB5"/>
    <w:rsid w:val="0080329B"/>
    <w:rsid w:val="00803805"/>
    <w:rsid w:val="0080582D"/>
    <w:rsid w:val="0080756C"/>
    <w:rsid w:val="008304EB"/>
    <w:rsid w:val="00831204"/>
    <w:rsid w:val="00831208"/>
    <w:rsid w:val="00835A02"/>
    <w:rsid w:val="00842339"/>
    <w:rsid w:val="008429CF"/>
    <w:rsid w:val="008446E2"/>
    <w:rsid w:val="00846BBE"/>
    <w:rsid w:val="00847E19"/>
    <w:rsid w:val="00850CD3"/>
    <w:rsid w:val="0085112C"/>
    <w:rsid w:val="008518BA"/>
    <w:rsid w:val="008523D7"/>
    <w:rsid w:val="00855857"/>
    <w:rsid w:val="008601A9"/>
    <w:rsid w:val="00861E43"/>
    <w:rsid w:val="0086450A"/>
    <w:rsid w:val="00865B0D"/>
    <w:rsid w:val="008672AB"/>
    <w:rsid w:val="00867976"/>
    <w:rsid w:val="00871B33"/>
    <w:rsid w:val="00872949"/>
    <w:rsid w:val="008729C2"/>
    <w:rsid w:val="008742C1"/>
    <w:rsid w:val="00876AA8"/>
    <w:rsid w:val="0088537C"/>
    <w:rsid w:val="00887874"/>
    <w:rsid w:val="00891E13"/>
    <w:rsid w:val="0089298E"/>
    <w:rsid w:val="008941DB"/>
    <w:rsid w:val="00894B8E"/>
    <w:rsid w:val="00894C85"/>
    <w:rsid w:val="008A16EA"/>
    <w:rsid w:val="008A3463"/>
    <w:rsid w:val="008A5B8D"/>
    <w:rsid w:val="008B6162"/>
    <w:rsid w:val="008B61E7"/>
    <w:rsid w:val="008C04DF"/>
    <w:rsid w:val="008C1971"/>
    <w:rsid w:val="008D03D4"/>
    <w:rsid w:val="008D2CAF"/>
    <w:rsid w:val="008D3ACE"/>
    <w:rsid w:val="008D3AD0"/>
    <w:rsid w:val="008D51CC"/>
    <w:rsid w:val="008D5307"/>
    <w:rsid w:val="008E4F95"/>
    <w:rsid w:val="008E5442"/>
    <w:rsid w:val="008E7A01"/>
    <w:rsid w:val="008F45D2"/>
    <w:rsid w:val="008F4D52"/>
    <w:rsid w:val="008F4E41"/>
    <w:rsid w:val="008F7181"/>
    <w:rsid w:val="0090408D"/>
    <w:rsid w:val="00904E6B"/>
    <w:rsid w:val="0090672F"/>
    <w:rsid w:val="00906EEC"/>
    <w:rsid w:val="00907360"/>
    <w:rsid w:val="00914204"/>
    <w:rsid w:val="0091549D"/>
    <w:rsid w:val="00915C7E"/>
    <w:rsid w:val="00920DFB"/>
    <w:rsid w:val="00920E47"/>
    <w:rsid w:val="00922606"/>
    <w:rsid w:val="00922D31"/>
    <w:rsid w:val="0092559F"/>
    <w:rsid w:val="00931141"/>
    <w:rsid w:val="00935665"/>
    <w:rsid w:val="00935B30"/>
    <w:rsid w:val="00936055"/>
    <w:rsid w:val="00936A4E"/>
    <w:rsid w:val="00936E45"/>
    <w:rsid w:val="00941580"/>
    <w:rsid w:val="00944E0C"/>
    <w:rsid w:val="00950D81"/>
    <w:rsid w:val="00951B95"/>
    <w:rsid w:val="009543EB"/>
    <w:rsid w:val="00956359"/>
    <w:rsid w:val="009623AB"/>
    <w:rsid w:val="00970A6B"/>
    <w:rsid w:val="00975E13"/>
    <w:rsid w:val="009763C4"/>
    <w:rsid w:val="009803F1"/>
    <w:rsid w:val="009844F7"/>
    <w:rsid w:val="0099079E"/>
    <w:rsid w:val="00995FFD"/>
    <w:rsid w:val="009A27DB"/>
    <w:rsid w:val="009A45B0"/>
    <w:rsid w:val="009A6A6F"/>
    <w:rsid w:val="009A7ED9"/>
    <w:rsid w:val="009A7FE3"/>
    <w:rsid w:val="009B1000"/>
    <w:rsid w:val="009B1B69"/>
    <w:rsid w:val="009B7B61"/>
    <w:rsid w:val="009C1CB3"/>
    <w:rsid w:val="009C470D"/>
    <w:rsid w:val="009C638B"/>
    <w:rsid w:val="009D3626"/>
    <w:rsid w:val="009D68FB"/>
    <w:rsid w:val="009D6CDC"/>
    <w:rsid w:val="009E04B3"/>
    <w:rsid w:val="009E0DFC"/>
    <w:rsid w:val="009E5B74"/>
    <w:rsid w:val="009E7C14"/>
    <w:rsid w:val="009E7F95"/>
    <w:rsid w:val="009F419C"/>
    <w:rsid w:val="009F43E0"/>
    <w:rsid w:val="009F5C11"/>
    <w:rsid w:val="009F69D9"/>
    <w:rsid w:val="00A055A5"/>
    <w:rsid w:val="00A06703"/>
    <w:rsid w:val="00A12A7C"/>
    <w:rsid w:val="00A1330E"/>
    <w:rsid w:val="00A17043"/>
    <w:rsid w:val="00A226A2"/>
    <w:rsid w:val="00A34B7D"/>
    <w:rsid w:val="00A36676"/>
    <w:rsid w:val="00A36710"/>
    <w:rsid w:val="00A36F05"/>
    <w:rsid w:val="00A375DC"/>
    <w:rsid w:val="00A402A1"/>
    <w:rsid w:val="00A44175"/>
    <w:rsid w:val="00A46E32"/>
    <w:rsid w:val="00A50D22"/>
    <w:rsid w:val="00A512C3"/>
    <w:rsid w:val="00A52068"/>
    <w:rsid w:val="00A571FE"/>
    <w:rsid w:val="00A60395"/>
    <w:rsid w:val="00A6287E"/>
    <w:rsid w:val="00A716B3"/>
    <w:rsid w:val="00A74D90"/>
    <w:rsid w:val="00A76CE0"/>
    <w:rsid w:val="00A77C2C"/>
    <w:rsid w:val="00A80062"/>
    <w:rsid w:val="00A8287D"/>
    <w:rsid w:val="00A856EB"/>
    <w:rsid w:val="00A87B70"/>
    <w:rsid w:val="00A9022E"/>
    <w:rsid w:val="00A903F1"/>
    <w:rsid w:val="00A913C5"/>
    <w:rsid w:val="00A94F92"/>
    <w:rsid w:val="00A9551B"/>
    <w:rsid w:val="00AA1165"/>
    <w:rsid w:val="00AA3F31"/>
    <w:rsid w:val="00AA4625"/>
    <w:rsid w:val="00AA4C95"/>
    <w:rsid w:val="00AB1F1A"/>
    <w:rsid w:val="00AB3121"/>
    <w:rsid w:val="00AB49FC"/>
    <w:rsid w:val="00AC079B"/>
    <w:rsid w:val="00AC0E4C"/>
    <w:rsid w:val="00AC4F34"/>
    <w:rsid w:val="00AC6EC2"/>
    <w:rsid w:val="00AD1595"/>
    <w:rsid w:val="00AD5A34"/>
    <w:rsid w:val="00AE3A63"/>
    <w:rsid w:val="00AE5435"/>
    <w:rsid w:val="00AE7FEE"/>
    <w:rsid w:val="00AF3ABE"/>
    <w:rsid w:val="00AF6959"/>
    <w:rsid w:val="00B0037C"/>
    <w:rsid w:val="00B00520"/>
    <w:rsid w:val="00B00F8E"/>
    <w:rsid w:val="00B014D0"/>
    <w:rsid w:val="00B02E60"/>
    <w:rsid w:val="00B03CB0"/>
    <w:rsid w:val="00B041A9"/>
    <w:rsid w:val="00B0465E"/>
    <w:rsid w:val="00B1218F"/>
    <w:rsid w:val="00B13262"/>
    <w:rsid w:val="00B14C20"/>
    <w:rsid w:val="00B16238"/>
    <w:rsid w:val="00B16E48"/>
    <w:rsid w:val="00B23F8B"/>
    <w:rsid w:val="00B27724"/>
    <w:rsid w:val="00B30F3D"/>
    <w:rsid w:val="00B415FF"/>
    <w:rsid w:val="00B432A0"/>
    <w:rsid w:val="00B433B1"/>
    <w:rsid w:val="00B43B8F"/>
    <w:rsid w:val="00B442CE"/>
    <w:rsid w:val="00B4738B"/>
    <w:rsid w:val="00B47828"/>
    <w:rsid w:val="00B517F7"/>
    <w:rsid w:val="00B52AFC"/>
    <w:rsid w:val="00B52EFE"/>
    <w:rsid w:val="00B60DCA"/>
    <w:rsid w:val="00B63064"/>
    <w:rsid w:val="00B63C73"/>
    <w:rsid w:val="00B672B3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0487"/>
    <w:rsid w:val="00BB4389"/>
    <w:rsid w:val="00BB61BE"/>
    <w:rsid w:val="00BC2797"/>
    <w:rsid w:val="00BC352B"/>
    <w:rsid w:val="00BC4227"/>
    <w:rsid w:val="00BC49DC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B9F"/>
    <w:rsid w:val="00BF0E8E"/>
    <w:rsid w:val="00BF16E5"/>
    <w:rsid w:val="00BF1A7F"/>
    <w:rsid w:val="00BF3861"/>
    <w:rsid w:val="00C00F37"/>
    <w:rsid w:val="00C03F51"/>
    <w:rsid w:val="00C10119"/>
    <w:rsid w:val="00C10CC7"/>
    <w:rsid w:val="00C11C58"/>
    <w:rsid w:val="00C13225"/>
    <w:rsid w:val="00C14C86"/>
    <w:rsid w:val="00C15B3B"/>
    <w:rsid w:val="00C229F8"/>
    <w:rsid w:val="00C22D4E"/>
    <w:rsid w:val="00C23C92"/>
    <w:rsid w:val="00C31318"/>
    <w:rsid w:val="00C322F1"/>
    <w:rsid w:val="00C3310A"/>
    <w:rsid w:val="00C33284"/>
    <w:rsid w:val="00C371FA"/>
    <w:rsid w:val="00C42012"/>
    <w:rsid w:val="00C43DCE"/>
    <w:rsid w:val="00C46F61"/>
    <w:rsid w:val="00C47BB2"/>
    <w:rsid w:val="00C51C28"/>
    <w:rsid w:val="00C53456"/>
    <w:rsid w:val="00C60C2D"/>
    <w:rsid w:val="00C70043"/>
    <w:rsid w:val="00C735FB"/>
    <w:rsid w:val="00C73861"/>
    <w:rsid w:val="00C7432C"/>
    <w:rsid w:val="00C75791"/>
    <w:rsid w:val="00C76304"/>
    <w:rsid w:val="00C833CA"/>
    <w:rsid w:val="00C83B2D"/>
    <w:rsid w:val="00C84955"/>
    <w:rsid w:val="00C86467"/>
    <w:rsid w:val="00C92A13"/>
    <w:rsid w:val="00C942C1"/>
    <w:rsid w:val="00C95C72"/>
    <w:rsid w:val="00C96B86"/>
    <w:rsid w:val="00C97DF7"/>
    <w:rsid w:val="00CA0560"/>
    <w:rsid w:val="00CA1A6A"/>
    <w:rsid w:val="00CA2C73"/>
    <w:rsid w:val="00CA6108"/>
    <w:rsid w:val="00CB766B"/>
    <w:rsid w:val="00CC356D"/>
    <w:rsid w:val="00CC5326"/>
    <w:rsid w:val="00CD109D"/>
    <w:rsid w:val="00CD128E"/>
    <w:rsid w:val="00CD1E9D"/>
    <w:rsid w:val="00CD5ECD"/>
    <w:rsid w:val="00CD6ABB"/>
    <w:rsid w:val="00CE0FFC"/>
    <w:rsid w:val="00CE5CF2"/>
    <w:rsid w:val="00CE691B"/>
    <w:rsid w:val="00CE7894"/>
    <w:rsid w:val="00D00A5D"/>
    <w:rsid w:val="00D00A87"/>
    <w:rsid w:val="00D013EF"/>
    <w:rsid w:val="00D02F2F"/>
    <w:rsid w:val="00D03146"/>
    <w:rsid w:val="00D076B0"/>
    <w:rsid w:val="00D13087"/>
    <w:rsid w:val="00D16FA0"/>
    <w:rsid w:val="00D22A10"/>
    <w:rsid w:val="00D24281"/>
    <w:rsid w:val="00D2604C"/>
    <w:rsid w:val="00D26DCE"/>
    <w:rsid w:val="00D271A2"/>
    <w:rsid w:val="00D33A75"/>
    <w:rsid w:val="00D42501"/>
    <w:rsid w:val="00D5130A"/>
    <w:rsid w:val="00D51769"/>
    <w:rsid w:val="00D522D8"/>
    <w:rsid w:val="00D52359"/>
    <w:rsid w:val="00D54127"/>
    <w:rsid w:val="00D545C2"/>
    <w:rsid w:val="00D5491C"/>
    <w:rsid w:val="00D554E8"/>
    <w:rsid w:val="00D5748E"/>
    <w:rsid w:val="00D612A9"/>
    <w:rsid w:val="00D66935"/>
    <w:rsid w:val="00D72C3B"/>
    <w:rsid w:val="00D75138"/>
    <w:rsid w:val="00D80021"/>
    <w:rsid w:val="00D8724C"/>
    <w:rsid w:val="00D938C1"/>
    <w:rsid w:val="00D9522E"/>
    <w:rsid w:val="00DA2494"/>
    <w:rsid w:val="00DA42A9"/>
    <w:rsid w:val="00DA47A8"/>
    <w:rsid w:val="00DA5235"/>
    <w:rsid w:val="00DB206B"/>
    <w:rsid w:val="00DB3592"/>
    <w:rsid w:val="00DB37F3"/>
    <w:rsid w:val="00DB3D26"/>
    <w:rsid w:val="00DB4C93"/>
    <w:rsid w:val="00DC3F8A"/>
    <w:rsid w:val="00DC6652"/>
    <w:rsid w:val="00DD46E9"/>
    <w:rsid w:val="00DE0D00"/>
    <w:rsid w:val="00DE16CD"/>
    <w:rsid w:val="00DE6492"/>
    <w:rsid w:val="00DE6957"/>
    <w:rsid w:val="00DF280B"/>
    <w:rsid w:val="00DF28B7"/>
    <w:rsid w:val="00DF3E7D"/>
    <w:rsid w:val="00DF68C0"/>
    <w:rsid w:val="00DF7F5A"/>
    <w:rsid w:val="00E00FFD"/>
    <w:rsid w:val="00E04C02"/>
    <w:rsid w:val="00E053B2"/>
    <w:rsid w:val="00E139D5"/>
    <w:rsid w:val="00E14CA5"/>
    <w:rsid w:val="00E152DF"/>
    <w:rsid w:val="00E17CC5"/>
    <w:rsid w:val="00E22D1B"/>
    <w:rsid w:val="00E235F5"/>
    <w:rsid w:val="00E23783"/>
    <w:rsid w:val="00E251E0"/>
    <w:rsid w:val="00E25C88"/>
    <w:rsid w:val="00E26411"/>
    <w:rsid w:val="00E302CB"/>
    <w:rsid w:val="00E307B6"/>
    <w:rsid w:val="00E36456"/>
    <w:rsid w:val="00E41AC9"/>
    <w:rsid w:val="00E41AD6"/>
    <w:rsid w:val="00E42017"/>
    <w:rsid w:val="00E42730"/>
    <w:rsid w:val="00E46268"/>
    <w:rsid w:val="00E515A8"/>
    <w:rsid w:val="00E55854"/>
    <w:rsid w:val="00E628AD"/>
    <w:rsid w:val="00E64339"/>
    <w:rsid w:val="00E659C4"/>
    <w:rsid w:val="00E677BD"/>
    <w:rsid w:val="00E70C44"/>
    <w:rsid w:val="00E71993"/>
    <w:rsid w:val="00E72B6E"/>
    <w:rsid w:val="00E872A7"/>
    <w:rsid w:val="00E92946"/>
    <w:rsid w:val="00EA19E9"/>
    <w:rsid w:val="00EA369D"/>
    <w:rsid w:val="00EA411E"/>
    <w:rsid w:val="00EA641F"/>
    <w:rsid w:val="00EA6A5A"/>
    <w:rsid w:val="00EB1480"/>
    <w:rsid w:val="00EB19E0"/>
    <w:rsid w:val="00EB5A80"/>
    <w:rsid w:val="00EB7AF3"/>
    <w:rsid w:val="00EC07DD"/>
    <w:rsid w:val="00EC0D7C"/>
    <w:rsid w:val="00EC1A83"/>
    <w:rsid w:val="00EC3652"/>
    <w:rsid w:val="00EC4200"/>
    <w:rsid w:val="00EC7F14"/>
    <w:rsid w:val="00ED42BE"/>
    <w:rsid w:val="00ED7334"/>
    <w:rsid w:val="00EE1F4D"/>
    <w:rsid w:val="00EE220A"/>
    <w:rsid w:val="00EE2853"/>
    <w:rsid w:val="00EE77C8"/>
    <w:rsid w:val="00EF014F"/>
    <w:rsid w:val="00EF4AF5"/>
    <w:rsid w:val="00EF5D36"/>
    <w:rsid w:val="00EF66FC"/>
    <w:rsid w:val="00F0135B"/>
    <w:rsid w:val="00F02153"/>
    <w:rsid w:val="00F02E73"/>
    <w:rsid w:val="00F10140"/>
    <w:rsid w:val="00F11BAF"/>
    <w:rsid w:val="00F11CE3"/>
    <w:rsid w:val="00F16FDF"/>
    <w:rsid w:val="00F17DCE"/>
    <w:rsid w:val="00F2038A"/>
    <w:rsid w:val="00F22750"/>
    <w:rsid w:val="00F238B0"/>
    <w:rsid w:val="00F23CA1"/>
    <w:rsid w:val="00F2401A"/>
    <w:rsid w:val="00F2646F"/>
    <w:rsid w:val="00F27E65"/>
    <w:rsid w:val="00F30A2C"/>
    <w:rsid w:val="00F32C26"/>
    <w:rsid w:val="00F37721"/>
    <w:rsid w:val="00F405C9"/>
    <w:rsid w:val="00F40A19"/>
    <w:rsid w:val="00F414CD"/>
    <w:rsid w:val="00F414F8"/>
    <w:rsid w:val="00F44FA1"/>
    <w:rsid w:val="00F453B6"/>
    <w:rsid w:val="00F47626"/>
    <w:rsid w:val="00F47CAB"/>
    <w:rsid w:val="00F50275"/>
    <w:rsid w:val="00F505C7"/>
    <w:rsid w:val="00F51366"/>
    <w:rsid w:val="00F54824"/>
    <w:rsid w:val="00F55E03"/>
    <w:rsid w:val="00F566F6"/>
    <w:rsid w:val="00F56CE1"/>
    <w:rsid w:val="00F62D01"/>
    <w:rsid w:val="00F62EE5"/>
    <w:rsid w:val="00F644B4"/>
    <w:rsid w:val="00F669C5"/>
    <w:rsid w:val="00F7016B"/>
    <w:rsid w:val="00F72333"/>
    <w:rsid w:val="00F72DEA"/>
    <w:rsid w:val="00F743FE"/>
    <w:rsid w:val="00F74682"/>
    <w:rsid w:val="00F76C7F"/>
    <w:rsid w:val="00F777E8"/>
    <w:rsid w:val="00F803B0"/>
    <w:rsid w:val="00F80D1F"/>
    <w:rsid w:val="00F80E14"/>
    <w:rsid w:val="00F80E25"/>
    <w:rsid w:val="00F869B7"/>
    <w:rsid w:val="00F9005C"/>
    <w:rsid w:val="00F904AE"/>
    <w:rsid w:val="00F90A1C"/>
    <w:rsid w:val="00F93445"/>
    <w:rsid w:val="00F975F2"/>
    <w:rsid w:val="00FA0966"/>
    <w:rsid w:val="00FA6905"/>
    <w:rsid w:val="00FA7A01"/>
    <w:rsid w:val="00FB03E9"/>
    <w:rsid w:val="00FB11A2"/>
    <w:rsid w:val="00FB13E6"/>
    <w:rsid w:val="00FB4456"/>
    <w:rsid w:val="00FB549D"/>
    <w:rsid w:val="00FB5D74"/>
    <w:rsid w:val="00FC2617"/>
    <w:rsid w:val="00FC38AE"/>
    <w:rsid w:val="00FC3A0E"/>
    <w:rsid w:val="00FC4B44"/>
    <w:rsid w:val="00FD0A3A"/>
    <w:rsid w:val="00FD16AF"/>
    <w:rsid w:val="00FD1F4D"/>
    <w:rsid w:val="00FD2A3E"/>
    <w:rsid w:val="00FD7077"/>
    <w:rsid w:val="00FE5BBC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0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331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7016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016B"/>
    <w:rPr>
      <w:rFonts w:ascii="Ecofont_Spranq_eco_Sans" w:hAnsi="Ecofont_Spranq_eco_Sans" w:cs="Tahoma"/>
    </w:rPr>
  </w:style>
  <w:style w:type="paragraph" w:customStyle="1" w:styleId="Nivel1">
    <w:name w:val="Nivel1"/>
    <w:basedOn w:val="Ttulo1"/>
    <w:next w:val="Normal"/>
    <w:link w:val="Nivel1Char"/>
    <w:qFormat/>
    <w:rsid w:val="00C3310A"/>
    <w:pPr>
      <w:numPr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Fontepargpadro"/>
    <w:link w:val="Nivel1"/>
    <w:rsid w:val="00C3310A"/>
    <w:rPr>
      <w:rFonts w:ascii="Arial" w:eastAsiaTheme="majorEastAsia" w:hAnsi="Arial"/>
      <w:b/>
      <w:color w:val="000000"/>
    </w:rPr>
  </w:style>
  <w:style w:type="character" w:customStyle="1" w:styleId="Ttulo1Char">
    <w:name w:val="Título 1 Char"/>
    <w:basedOn w:val="Fontepargpadro"/>
    <w:link w:val="Ttulo1"/>
    <w:rsid w:val="00C331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C92A13"/>
    <w:rPr>
      <w:sz w:val="16"/>
      <w:szCs w:val="16"/>
    </w:rPr>
  </w:style>
  <w:style w:type="table" w:styleId="Tabelacomgrade">
    <w:name w:val="Table Grid"/>
    <w:basedOn w:val="Tabelanormal"/>
    <w:uiPriority w:val="59"/>
    <w:rsid w:val="00956359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F80D1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F80D1F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Nivel01">
    <w:name w:val="Nivel 01"/>
    <w:basedOn w:val="Ttulo1"/>
    <w:next w:val="Normal"/>
    <w:link w:val="Nivel01Char"/>
    <w:qFormat/>
    <w:rsid w:val="00601811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01811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styleId="Corpodetexto3">
    <w:name w:val="Body Text 3"/>
    <w:basedOn w:val="Normal"/>
    <w:link w:val="Corpodetexto3Char"/>
    <w:rsid w:val="00160279"/>
    <w:pPr>
      <w:suppressAutoHyphens/>
      <w:autoSpaceDE w:val="0"/>
      <w:autoSpaceDN w:val="0"/>
      <w:textAlignment w:val="baseline"/>
    </w:pPr>
    <w:rPr>
      <w:rFonts w:ascii="Times New Roman" w:hAnsi="Times New Roman" w:cs="Times New Roman"/>
      <w:kern w:val="3"/>
      <w:sz w:val="28"/>
      <w:szCs w:val="28"/>
    </w:rPr>
  </w:style>
  <w:style w:type="character" w:customStyle="1" w:styleId="Corpodetexto3Char">
    <w:name w:val="Corpo de texto 3 Char"/>
    <w:basedOn w:val="Fontepargpadro"/>
    <w:link w:val="Corpodetexto3"/>
    <w:rsid w:val="00160279"/>
    <w:rPr>
      <w:kern w:val="3"/>
      <w:sz w:val="28"/>
      <w:szCs w:val="28"/>
    </w:rPr>
  </w:style>
  <w:style w:type="paragraph" w:customStyle="1" w:styleId="Nivel2">
    <w:name w:val="Nivel 2"/>
    <w:link w:val="Nivel2Char"/>
    <w:qFormat/>
    <w:rsid w:val="005A7F4A"/>
    <w:pPr>
      <w:numPr>
        <w:ilvl w:val="1"/>
        <w:numId w:val="29"/>
      </w:numPr>
      <w:spacing w:before="120" w:after="120" w:line="276" w:lineRule="auto"/>
      <w:ind w:left="425" w:firstLine="0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5A7F4A"/>
    <w:pPr>
      <w:numPr>
        <w:ilvl w:val="0"/>
      </w:numPr>
      <w:tabs>
        <w:tab w:val="num" w:pos="0"/>
        <w:tab w:val="num" w:pos="360"/>
        <w:tab w:val="num" w:pos="420"/>
      </w:tabs>
      <w:ind w:left="142" w:firstLine="0"/>
    </w:pPr>
    <w:rPr>
      <w:rFonts w:cs="Arial"/>
      <w:b/>
    </w:rPr>
  </w:style>
  <w:style w:type="paragraph" w:customStyle="1" w:styleId="Nivel3">
    <w:name w:val="Nivel 3"/>
    <w:basedOn w:val="Nivel2"/>
    <w:qFormat/>
    <w:rsid w:val="005A7F4A"/>
    <w:pPr>
      <w:numPr>
        <w:ilvl w:val="2"/>
      </w:numPr>
      <w:tabs>
        <w:tab w:val="num" w:pos="360"/>
        <w:tab w:val="num" w:pos="1440"/>
      </w:tabs>
      <w:ind w:left="1134" w:firstLine="0"/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5A7F4A"/>
    <w:pPr>
      <w:numPr>
        <w:ilvl w:val="3"/>
      </w:numPr>
      <w:tabs>
        <w:tab w:val="num" w:pos="360"/>
        <w:tab w:val="num" w:pos="1440"/>
        <w:tab w:val="num" w:pos="1800"/>
        <w:tab w:val="num" w:pos="2160"/>
      </w:tabs>
      <w:ind w:left="1701" w:firstLine="0"/>
    </w:pPr>
  </w:style>
  <w:style w:type="paragraph" w:customStyle="1" w:styleId="Nivel5">
    <w:name w:val="Nivel 5"/>
    <w:basedOn w:val="Nivel4"/>
    <w:qFormat/>
    <w:rsid w:val="005A7F4A"/>
    <w:pPr>
      <w:numPr>
        <w:ilvl w:val="4"/>
      </w:numPr>
      <w:tabs>
        <w:tab w:val="num" w:pos="360"/>
        <w:tab w:val="num" w:pos="1440"/>
        <w:tab w:val="num" w:pos="2520"/>
        <w:tab w:val="num" w:pos="2880"/>
        <w:tab w:val="num" w:pos="5400"/>
      </w:tabs>
      <w:ind w:left="2268" w:firstLine="0"/>
    </w:pPr>
  </w:style>
  <w:style w:type="character" w:customStyle="1" w:styleId="Nivel4Char">
    <w:name w:val="Nivel 4 Char"/>
    <w:basedOn w:val="Fontepargpadro"/>
    <w:link w:val="Nivel4"/>
    <w:rsid w:val="005A7F4A"/>
    <w:rPr>
      <w:rFonts w:ascii="Ecofont_Spranq_eco_Sans" w:eastAsia="Arial Unicode MS" w:hAnsi="Ecofont_Spranq_eco_Sans" w:cs="Arial"/>
      <w:color w:val="000000"/>
    </w:rPr>
  </w:style>
  <w:style w:type="character" w:customStyle="1" w:styleId="Nivel2Char">
    <w:name w:val="Nivel 2 Char"/>
    <w:basedOn w:val="Fontepargpadro"/>
    <w:link w:val="Nivel2"/>
    <w:rsid w:val="005A7F4A"/>
    <w:rPr>
      <w:rFonts w:ascii="Ecofont_Spranq_eco_Sans" w:eastAsia="Arial Unicode MS" w:hAnsi="Ecofont_Spranq_eco_Sans"/>
    </w:rPr>
  </w:style>
  <w:style w:type="paragraph" w:customStyle="1" w:styleId="ff">
    <w:name w:val="f.f."/>
    <w:basedOn w:val="Normal"/>
    <w:link w:val="ffChar"/>
    <w:qFormat/>
    <w:rsid w:val="005A7F4A"/>
    <w:pPr>
      <w:tabs>
        <w:tab w:val="left" w:pos="567"/>
      </w:tabs>
      <w:spacing w:line="360" w:lineRule="auto"/>
      <w:ind w:left="567" w:hanging="567"/>
      <w:jc w:val="both"/>
      <w:outlineLvl w:val="1"/>
    </w:pPr>
    <w:rPr>
      <w:rFonts w:ascii="Times New Roman" w:hAnsi="Times New Roman" w:cs="Times New Roman"/>
      <w:sz w:val="24"/>
    </w:rPr>
  </w:style>
  <w:style w:type="character" w:customStyle="1" w:styleId="ffChar">
    <w:name w:val="f.f. Char"/>
    <w:basedOn w:val="Fontepargpadro"/>
    <w:link w:val="ff"/>
    <w:rsid w:val="005A7F4A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semiHidden/>
    <w:unhideWhenUsed/>
    <w:rsid w:val="00514DF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514DF0"/>
    <w:rPr>
      <w:rFonts w:ascii="Arial" w:hAnsi="Arial" w:cs="Tahoma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F541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F541D"/>
    <w:rPr>
      <w:rFonts w:ascii="Arial" w:hAnsi="Arial" w:cs="Tahoma"/>
      <w:b/>
      <w:bCs/>
    </w:rPr>
  </w:style>
  <w:style w:type="paragraph" w:styleId="Reviso">
    <w:name w:val="Revision"/>
    <w:hidden/>
    <w:uiPriority w:val="99"/>
    <w:semiHidden/>
    <w:rsid w:val="005F541D"/>
    <w:rPr>
      <w:rFonts w:ascii="Arial" w:hAnsi="Arial" w:cs="Tahom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10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3310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F7016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016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F7016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16B"/>
    <w:rPr>
      <w:rFonts w:ascii="Ecofont_Spranq_eco_Sans" w:hAnsi="Ecofont_Spranq_eco_Sans" w:cs="Tahoma"/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7016B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F7016B"/>
    <w:rPr>
      <w:rFonts w:ascii="Ecofont_Spranq_eco_Sans" w:hAnsi="Ecofont_Spranq_eco_Sans" w:cs="Tahoma"/>
    </w:rPr>
  </w:style>
  <w:style w:type="paragraph" w:customStyle="1" w:styleId="Nivel1">
    <w:name w:val="Nivel1"/>
    <w:basedOn w:val="Ttulo1"/>
    <w:next w:val="Normal"/>
    <w:link w:val="Nivel1Char"/>
    <w:qFormat/>
    <w:rsid w:val="00C3310A"/>
    <w:pPr>
      <w:numPr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Fontepargpadro"/>
    <w:link w:val="Nivel1"/>
    <w:rsid w:val="00C3310A"/>
    <w:rPr>
      <w:rFonts w:ascii="Arial" w:eastAsiaTheme="majorEastAsia" w:hAnsi="Arial"/>
      <w:b/>
      <w:color w:val="000000"/>
    </w:rPr>
  </w:style>
  <w:style w:type="character" w:customStyle="1" w:styleId="Ttulo1Char">
    <w:name w:val="Título 1 Char"/>
    <w:basedOn w:val="Fontepargpadro"/>
    <w:link w:val="Ttulo1"/>
    <w:rsid w:val="00C331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C92A13"/>
    <w:rPr>
      <w:sz w:val="16"/>
      <w:szCs w:val="16"/>
    </w:rPr>
  </w:style>
  <w:style w:type="table" w:styleId="Tabelacomgrade">
    <w:name w:val="Table Grid"/>
    <w:basedOn w:val="Tabelanormal"/>
    <w:uiPriority w:val="59"/>
    <w:rsid w:val="00956359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F80D1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F80D1F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Nivel01">
    <w:name w:val="Nivel 01"/>
    <w:basedOn w:val="Ttulo1"/>
    <w:next w:val="Normal"/>
    <w:link w:val="Nivel01Char"/>
    <w:qFormat/>
    <w:rsid w:val="00601811"/>
    <w:pPr>
      <w:spacing w:before="480" w:after="120" w:line="276" w:lineRule="auto"/>
      <w:ind w:left="360" w:right="-15" w:hanging="360"/>
      <w:jc w:val="both"/>
    </w:pPr>
    <w:rPr>
      <w:rFonts w:ascii="Arial" w:hAnsi="Arial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601811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styleId="Corpodetexto3">
    <w:name w:val="Body Text 3"/>
    <w:basedOn w:val="Normal"/>
    <w:link w:val="Corpodetexto3Char"/>
    <w:rsid w:val="00160279"/>
    <w:pPr>
      <w:suppressAutoHyphens/>
      <w:autoSpaceDE w:val="0"/>
      <w:autoSpaceDN w:val="0"/>
      <w:textAlignment w:val="baseline"/>
    </w:pPr>
    <w:rPr>
      <w:rFonts w:ascii="Times New Roman" w:hAnsi="Times New Roman" w:cs="Times New Roman"/>
      <w:kern w:val="3"/>
      <w:sz w:val="28"/>
      <w:szCs w:val="28"/>
    </w:rPr>
  </w:style>
  <w:style w:type="character" w:customStyle="1" w:styleId="Corpodetexto3Char">
    <w:name w:val="Corpo de texto 3 Char"/>
    <w:basedOn w:val="Fontepargpadro"/>
    <w:link w:val="Corpodetexto3"/>
    <w:rsid w:val="00160279"/>
    <w:rPr>
      <w:kern w:val="3"/>
      <w:sz w:val="28"/>
      <w:szCs w:val="28"/>
    </w:rPr>
  </w:style>
  <w:style w:type="paragraph" w:customStyle="1" w:styleId="Nivel2">
    <w:name w:val="Nivel 2"/>
    <w:link w:val="Nivel2Char"/>
    <w:qFormat/>
    <w:rsid w:val="005A7F4A"/>
    <w:pPr>
      <w:numPr>
        <w:ilvl w:val="1"/>
        <w:numId w:val="29"/>
      </w:numPr>
      <w:spacing w:before="120" w:after="120" w:line="276" w:lineRule="auto"/>
      <w:ind w:left="425" w:firstLine="0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5A7F4A"/>
    <w:pPr>
      <w:numPr>
        <w:ilvl w:val="0"/>
      </w:numPr>
      <w:tabs>
        <w:tab w:val="num" w:pos="0"/>
        <w:tab w:val="num" w:pos="360"/>
        <w:tab w:val="num" w:pos="420"/>
      </w:tabs>
      <w:ind w:left="142" w:firstLine="0"/>
    </w:pPr>
    <w:rPr>
      <w:rFonts w:cs="Arial"/>
      <w:b/>
    </w:rPr>
  </w:style>
  <w:style w:type="paragraph" w:customStyle="1" w:styleId="Nivel3">
    <w:name w:val="Nivel 3"/>
    <w:basedOn w:val="Nivel2"/>
    <w:qFormat/>
    <w:rsid w:val="005A7F4A"/>
    <w:pPr>
      <w:numPr>
        <w:ilvl w:val="2"/>
      </w:numPr>
      <w:tabs>
        <w:tab w:val="num" w:pos="360"/>
        <w:tab w:val="num" w:pos="1440"/>
      </w:tabs>
      <w:ind w:left="1134" w:firstLine="0"/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5A7F4A"/>
    <w:pPr>
      <w:numPr>
        <w:ilvl w:val="3"/>
      </w:numPr>
      <w:tabs>
        <w:tab w:val="num" w:pos="360"/>
        <w:tab w:val="num" w:pos="1440"/>
        <w:tab w:val="num" w:pos="1800"/>
        <w:tab w:val="num" w:pos="2160"/>
      </w:tabs>
      <w:ind w:left="1701" w:firstLine="0"/>
    </w:pPr>
  </w:style>
  <w:style w:type="paragraph" w:customStyle="1" w:styleId="Nivel5">
    <w:name w:val="Nivel 5"/>
    <w:basedOn w:val="Nivel4"/>
    <w:qFormat/>
    <w:rsid w:val="005A7F4A"/>
    <w:pPr>
      <w:numPr>
        <w:ilvl w:val="4"/>
      </w:numPr>
      <w:tabs>
        <w:tab w:val="num" w:pos="360"/>
        <w:tab w:val="num" w:pos="1440"/>
        <w:tab w:val="num" w:pos="2520"/>
        <w:tab w:val="num" w:pos="2880"/>
        <w:tab w:val="num" w:pos="5400"/>
      </w:tabs>
      <w:ind w:left="2268" w:firstLine="0"/>
    </w:pPr>
  </w:style>
  <w:style w:type="character" w:customStyle="1" w:styleId="Nivel4Char">
    <w:name w:val="Nivel 4 Char"/>
    <w:basedOn w:val="Fontepargpadro"/>
    <w:link w:val="Nivel4"/>
    <w:rsid w:val="005A7F4A"/>
    <w:rPr>
      <w:rFonts w:ascii="Ecofont_Spranq_eco_Sans" w:eastAsia="Arial Unicode MS" w:hAnsi="Ecofont_Spranq_eco_Sans" w:cs="Arial"/>
      <w:color w:val="000000"/>
    </w:rPr>
  </w:style>
  <w:style w:type="character" w:customStyle="1" w:styleId="Nivel2Char">
    <w:name w:val="Nivel 2 Char"/>
    <w:basedOn w:val="Fontepargpadro"/>
    <w:link w:val="Nivel2"/>
    <w:rsid w:val="005A7F4A"/>
    <w:rPr>
      <w:rFonts w:ascii="Ecofont_Spranq_eco_Sans" w:eastAsia="Arial Unicode MS" w:hAnsi="Ecofont_Spranq_eco_Sans"/>
    </w:rPr>
  </w:style>
  <w:style w:type="paragraph" w:customStyle="1" w:styleId="ff">
    <w:name w:val="f.f."/>
    <w:basedOn w:val="Normal"/>
    <w:link w:val="ffChar"/>
    <w:qFormat/>
    <w:rsid w:val="005A7F4A"/>
    <w:pPr>
      <w:tabs>
        <w:tab w:val="left" w:pos="567"/>
      </w:tabs>
      <w:spacing w:line="360" w:lineRule="auto"/>
      <w:ind w:left="567" w:hanging="567"/>
      <w:jc w:val="both"/>
      <w:outlineLvl w:val="1"/>
    </w:pPr>
    <w:rPr>
      <w:rFonts w:ascii="Times New Roman" w:hAnsi="Times New Roman" w:cs="Times New Roman"/>
      <w:sz w:val="24"/>
    </w:rPr>
  </w:style>
  <w:style w:type="character" w:customStyle="1" w:styleId="ffChar">
    <w:name w:val="f.f. Char"/>
    <w:basedOn w:val="Fontepargpadro"/>
    <w:link w:val="ff"/>
    <w:rsid w:val="005A7F4A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semiHidden/>
    <w:unhideWhenUsed/>
    <w:rsid w:val="00514DF0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514DF0"/>
    <w:rPr>
      <w:rFonts w:ascii="Arial" w:hAnsi="Arial" w:cs="Tahoma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F541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F541D"/>
    <w:rPr>
      <w:rFonts w:ascii="Arial" w:hAnsi="Arial" w:cs="Tahoma"/>
      <w:b/>
      <w:bCs/>
    </w:rPr>
  </w:style>
  <w:style w:type="paragraph" w:styleId="Reviso">
    <w:name w:val="Revision"/>
    <w:hidden/>
    <w:uiPriority w:val="99"/>
    <w:semiHidden/>
    <w:rsid w:val="005F541D"/>
    <w:rPr>
      <w:rFonts w:ascii="Arial" w:hAnsi="Arial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lanalto.gov.br/ccivil_03/LEIS/L8078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9B71222-04E1-4EB7-8E79-1BA7D598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14</Pages>
  <Words>5622</Words>
  <Characters>30643</Characters>
  <Application>Microsoft Office Word</Application>
  <DocSecurity>0</DocSecurity>
  <Lines>255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Mirella Muzzi de Lima</cp:lastModifiedBy>
  <cp:revision>3</cp:revision>
  <cp:lastPrinted>2018-03-12T12:51:00Z</cp:lastPrinted>
  <dcterms:created xsi:type="dcterms:W3CDTF">2018-03-12T14:31:00Z</dcterms:created>
  <dcterms:modified xsi:type="dcterms:W3CDTF">2018-03-13T12:40:00Z</dcterms:modified>
</cp:coreProperties>
</file>