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E985A" w14:textId="17E3C539" w:rsidR="00BC1A81" w:rsidRPr="00BC1A81" w:rsidRDefault="00BC1A81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C1A81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3204654A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092C74FF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 xml:space="preserve">(Processo Administrativo n. </w:t>
      </w:r>
      <w:r w:rsidR="00BC1A81" w:rsidRPr="00BC1A81">
        <w:rPr>
          <w:rFonts w:ascii="Times New Roman" w:hAnsi="Times New Roman" w:cs="Times New Roman"/>
          <w:sz w:val="22"/>
          <w:szCs w:val="22"/>
        </w:rPr>
        <w:t>25800.002581/2024-13</w:t>
      </w:r>
      <w:r w:rsidR="00BC1A81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7930D8">
      <w:pPr>
        <w:spacing w:line="276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bookmarkStart w:id="0" w:name="_GoBack"/>
      <w:bookmarkEnd w:id="0"/>
    </w:p>
    <w:p w14:paraId="4C23E2CD" w14:textId="6B2BA6DD" w:rsidR="003A37D8" w:rsidRPr="00AE367E" w:rsidRDefault="003A37D8" w:rsidP="007930D8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 xml:space="preserve">alterado na </w:t>
      </w:r>
      <w:r w:rsidR="00413DE8">
        <w:rPr>
          <w:rFonts w:ascii="Times New Roman" w:hAnsi="Times New Roman" w:cs="Times New Roman"/>
          <w:sz w:val="22"/>
          <w:szCs w:val="22"/>
        </w:rPr>
        <w:t>4</w:t>
      </w:r>
      <w:r w:rsidR="00413DE8" w:rsidRPr="00777101">
        <w:rPr>
          <w:rFonts w:ascii="Times New Roman" w:hAnsi="Times New Roman" w:cs="Times New Roman"/>
          <w:sz w:val="22"/>
          <w:szCs w:val="22"/>
        </w:rPr>
        <w:t xml:space="preserve">ª Assembleia Geral Extraordinária de </w:t>
      </w:r>
      <w:r w:rsidR="00413DE8">
        <w:rPr>
          <w:rFonts w:ascii="Times New Roman" w:hAnsi="Times New Roman" w:cs="Times New Roman"/>
          <w:sz w:val="22"/>
          <w:szCs w:val="22"/>
        </w:rPr>
        <w:t>19</w:t>
      </w:r>
      <w:r w:rsidR="00413DE8" w:rsidRPr="00777101">
        <w:rPr>
          <w:rFonts w:ascii="Times New Roman" w:hAnsi="Times New Roman" w:cs="Times New Roman"/>
          <w:sz w:val="22"/>
          <w:szCs w:val="22"/>
        </w:rPr>
        <w:t xml:space="preserve"> de </w:t>
      </w:r>
      <w:r w:rsidR="00413DE8">
        <w:rPr>
          <w:rFonts w:ascii="Times New Roman" w:hAnsi="Times New Roman" w:cs="Times New Roman"/>
          <w:sz w:val="22"/>
          <w:szCs w:val="22"/>
        </w:rPr>
        <w:t>setembro</w:t>
      </w:r>
      <w:r w:rsidR="00413DE8" w:rsidRPr="00777101">
        <w:rPr>
          <w:rFonts w:ascii="Times New Roman" w:hAnsi="Times New Roman" w:cs="Times New Roman"/>
          <w:sz w:val="22"/>
          <w:szCs w:val="22"/>
        </w:rPr>
        <w:t xml:space="preserve"> de 202</w:t>
      </w:r>
      <w:r w:rsidR="00413DE8">
        <w:rPr>
          <w:rFonts w:ascii="Times New Roman" w:hAnsi="Times New Roman" w:cs="Times New Roman"/>
          <w:sz w:val="22"/>
          <w:szCs w:val="22"/>
        </w:rPr>
        <w:t>5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1A6D79AA" w:rsidR="00C375E5" w:rsidRDefault="003A37D8" w:rsidP="007930D8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="00BC1A81" w:rsidRPr="00BC1A81">
        <w:rPr>
          <w:rFonts w:ascii="Times New Roman" w:hAnsi="Times New Roman" w:cs="Times New Roman"/>
          <w:sz w:val="22"/>
          <w:szCs w:val="22"/>
        </w:rPr>
        <w:t>25800.002581/2024-13</w:t>
      </w:r>
      <w:r w:rsidR="00BC1A81">
        <w:rPr>
          <w:rFonts w:ascii="Times New Roman" w:hAnsi="Times New Roman" w:cs="Times New Roman"/>
          <w:sz w:val="22"/>
          <w:szCs w:val="22"/>
        </w:rPr>
        <w:t xml:space="preserve">, </w:t>
      </w:r>
      <w:r w:rsidRPr="003A37D8">
        <w:rPr>
          <w:rFonts w:ascii="Times New Roman" w:hAnsi="Times New Roman" w:cs="Times New Roman"/>
          <w:bCs/>
          <w:sz w:val="22"/>
          <w:szCs w:val="22"/>
        </w:rPr>
        <w:t>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</w:t>
      </w:r>
      <w:r w:rsidR="0034738D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27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julho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B844D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74E13018" w14:textId="77777777" w:rsidR="00C375E5" w:rsidRDefault="00C375E5">
      <w:pPr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br w:type="page"/>
      </w:r>
    </w:p>
    <w:p w14:paraId="44FE4DD8" w14:textId="47DC5035" w:rsidR="003F29C4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0BA6902C" w:rsidR="00B01E82" w:rsidRPr="00BC1A81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>instrum</w:t>
      </w:r>
      <w:r w:rsidR="00A40017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ento </w:t>
      </w:r>
      <w:r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915306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aquisição</w:t>
      </w:r>
      <w:r w:rsidR="00EF2567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de</w:t>
      </w:r>
      <w:r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375E5"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>óleo diesel S10, com fornecimento parcelado, em domicílio, para o abastecimento do gerador a diesel do Bloco B07 e a bomba diesel para combate a incêndio instalada do Bloco B14 localizados no site da Hemobrás, em Goiana / PE</w:t>
      </w:r>
      <w:r w:rsidR="00B01E82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que serão </w:t>
      </w:r>
      <w:r w:rsidR="00915306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fornecidos</w:t>
      </w:r>
      <w:r w:rsidR="00B01E82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BC1A81" w:rsidRDefault="00A40017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631D6176" w:rsidR="000575AE" w:rsidRPr="00BC1A81" w:rsidRDefault="00424D7A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leNormal"/>
        <w:tblW w:w="49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47"/>
        <w:gridCol w:w="2692"/>
        <w:gridCol w:w="864"/>
        <w:gridCol w:w="1033"/>
        <w:gridCol w:w="1166"/>
        <w:gridCol w:w="1190"/>
        <w:gridCol w:w="1193"/>
      </w:tblGrid>
      <w:tr w:rsidR="00C375E5" w:rsidRPr="00C375E5" w14:paraId="1E2C9296" w14:textId="77777777" w:rsidTr="00C375E5">
        <w:trPr>
          <w:trHeight w:val="208"/>
        </w:trPr>
        <w:tc>
          <w:tcPr>
            <w:tcW w:w="471" w:type="pct"/>
            <w:vMerge w:val="restart"/>
            <w:shd w:val="clear" w:color="auto" w:fill="D8D8D8"/>
            <w:vAlign w:val="center"/>
          </w:tcPr>
          <w:p w14:paraId="762F279F" w14:textId="77777777" w:rsidR="00C375E5" w:rsidRPr="00C375E5" w:rsidRDefault="00C375E5" w:rsidP="00C375E5">
            <w:pPr>
              <w:pStyle w:val="TableParagraph"/>
              <w:spacing w:before="110"/>
              <w:jc w:val="center"/>
              <w:rPr>
                <w:b/>
                <w:sz w:val="16"/>
                <w:szCs w:val="16"/>
              </w:rPr>
            </w:pPr>
            <w:r w:rsidRPr="00C375E5">
              <w:rPr>
                <w:b/>
                <w:spacing w:val="-4"/>
                <w:sz w:val="16"/>
                <w:szCs w:val="16"/>
              </w:rPr>
              <w:t>ITEM</w:t>
            </w:r>
          </w:p>
        </w:tc>
        <w:tc>
          <w:tcPr>
            <w:tcW w:w="1498" w:type="pct"/>
            <w:vMerge w:val="restart"/>
            <w:shd w:val="clear" w:color="auto" w:fill="D8D8D8"/>
            <w:vAlign w:val="center"/>
          </w:tcPr>
          <w:p w14:paraId="0A0FF753" w14:textId="77777777" w:rsidR="00C375E5" w:rsidRPr="00C375E5" w:rsidRDefault="00C375E5" w:rsidP="00C375E5">
            <w:pPr>
              <w:pStyle w:val="TableParagraph"/>
              <w:spacing w:before="110"/>
              <w:jc w:val="center"/>
              <w:rPr>
                <w:b/>
                <w:sz w:val="16"/>
                <w:szCs w:val="16"/>
              </w:rPr>
            </w:pPr>
            <w:r w:rsidRPr="00C375E5">
              <w:rPr>
                <w:b/>
                <w:spacing w:val="-2"/>
                <w:sz w:val="16"/>
                <w:szCs w:val="16"/>
              </w:rPr>
              <w:t>DESCRIÇÃO/ESPECIFICAÇÃO</w:t>
            </w:r>
          </w:p>
        </w:tc>
        <w:tc>
          <w:tcPr>
            <w:tcW w:w="481" w:type="pct"/>
            <w:vMerge w:val="restart"/>
            <w:shd w:val="clear" w:color="auto" w:fill="D8D8D8"/>
            <w:vAlign w:val="center"/>
          </w:tcPr>
          <w:p w14:paraId="218FE8AC" w14:textId="5E9B9F22" w:rsidR="00C375E5" w:rsidRPr="00C375E5" w:rsidRDefault="00C375E5" w:rsidP="00C375E5">
            <w:pPr>
              <w:pStyle w:val="TableParagraph"/>
              <w:spacing w:before="110"/>
              <w:jc w:val="center"/>
              <w:rPr>
                <w:b/>
                <w:sz w:val="16"/>
                <w:szCs w:val="16"/>
              </w:rPr>
            </w:pPr>
            <w:r w:rsidRPr="00C375E5">
              <w:rPr>
                <w:b/>
                <w:spacing w:val="-2"/>
                <w:sz w:val="16"/>
                <w:szCs w:val="16"/>
              </w:rPr>
              <w:t>QTDE.</w:t>
            </w:r>
          </w:p>
        </w:tc>
        <w:tc>
          <w:tcPr>
            <w:tcW w:w="575" w:type="pct"/>
            <w:vMerge w:val="restart"/>
            <w:shd w:val="clear" w:color="auto" w:fill="D8D8D8"/>
            <w:vAlign w:val="center"/>
          </w:tcPr>
          <w:p w14:paraId="28DDC6D5" w14:textId="77777777" w:rsidR="00C375E5" w:rsidRPr="00C375E5" w:rsidRDefault="00C375E5" w:rsidP="00C375E5">
            <w:pPr>
              <w:pStyle w:val="TableParagraph"/>
              <w:spacing w:before="2" w:line="186" w:lineRule="exact"/>
              <w:jc w:val="center"/>
              <w:rPr>
                <w:b/>
                <w:spacing w:val="-2"/>
                <w:sz w:val="16"/>
                <w:szCs w:val="16"/>
              </w:rPr>
            </w:pPr>
            <w:r w:rsidRPr="00C375E5">
              <w:rPr>
                <w:b/>
                <w:spacing w:val="-2"/>
                <w:sz w:val="16"/>
                <w:szCs w:val="16"/>
              </w:rPr>
              <w:t>PREÇO REF. (R$)</w:t>
            </w:r>
          </w:p>
        </w:tc>
        <w:tc>
          <w:tcPr>
            <w:tcW w:w="649" w:type="pct"/>
            <w:vMerge w:val="restart"/>
            <w:shd w:val="clear" w:color="auto" w:fill="D8D8D8"/>
            <w:vAlign w:val="center"/>
          </w:tcPr>
          <w:p w14:paraId="5F21A3A2" w14:textId="77777777" w:rsidR="00C375E5" w:rsidRPr="00C375E5" w:rsidRDefault="00C375E5" w:rsidP="00C375E5">
            <w:pPr>
              <w:pStyle w:val="TableParagraph"/>
              <w:spacing w:before="2" w:line="186" w:lineRule="exact"/>
              <w:ind w:left="22"/>
              <w:jc w:val="center"/>
              <w:rPr>
                <w:b/>
                <w:spacing w:val="-2"/>
                <w:sz w:val="16"/>
                <w:szCs w:val="16"/>
              </w:rPr>
            </w:pPr>
            <w:r w:rsidRPr="00C375E5">
              <w:rPr>
                <w:b/>
                <w:spacing w:val="-2"/>
                <w:sz w:val="16"/>
                <w:szCs w:val="16"/>
              </w:rPr>
              <w:t>DESCONTO OFERTADO (%)</w:t>
            </w:r>
          </w:p>
        </w:tc>
        <w:tc>
          <w:tcPr>
            <w:tcW w:w="1326" w:type="pct"/>
            <w:gridSpan w:val="2"/>
            <w:shd w:val="clear" w:color="auto" w:fill="D8D8D8"/>
            <w:vAlign w:val="center"/>
          </w:tcPr>
          <w:p w14:paraId="288F57EB" w14:textId="77777777" w:rsidR="00C375E5" w:rsidRPr="00C375E5" w:rsidRDefault="00C375E5" w:rsidP="00C375E5">
            <w:pPr>
              <w:pStyle w:val="TableParagraph"/>
              <w:spacing w:before="2" w:line="186" w:lineRule="exact"/>
              <w:ind w:left="22"/>
              <w:jc w:val="center"/>
              <w:rPr>
                <w:b/>
                <w:sz w:val="16"/>
                <w:szCs w:val="16"/>
              </w:rPr>
            </w:pPr>
            <w:r w:rsidRPr="00C375E5">
              <w:rPr>
                <w:b/>
                <w:spacing w:val="-2"/>
                <w:sz w:val="16"/>
                <w:szCs w:val="16"/>
              </w:rPr>
              <w:t>PREÇO (R$)</w:t>
            </w:r>
          </w:p>
        </w:tc>
      </w:tr>
      <w:tr w:rsidR="00C375E5" w:rsidRPr="00C375E5" w14:paraId="761BA3AD" w14:textId="77777777" w:rsidTr="00C375E5">
        <w:trPr>
          <w:trHeight w:val="206"/>
        </w:trPr>
        <w:tc>
          <w:tcPr>
            <w:tcW w:w="471" w:type="pct"/>
            <w:vMerge/>
            <w:tcBorders>
              <w:top w:val="nil"/>
            </w:tcBorders>
            <w:shd w:val="clear" w:color="auto" w:fill="D8D8D8"/>
            <w:vAlign w:val="center"/>
          </w:tcPr>
          <w:p w14:paraId="2F005185" w14:textId="77777777" w:rsidR="00C375E5" w:rsidRPr="00C375E5" w:rsidRDefault="00C375E5" w:rsidP="00C375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pct"/>
            <w:vMerge/>
            <w:tcBorders>
              <w:top w:val="nil"/>
            </w:tcBorders>
            <w:shd w:val="clear" w:color="auto" w:fill="D8D8D8"/>
            <w:vAlign w:val="center"/>
          </w:tcPr>
          <w:p w14:paraId="3A442AAB" w14:textId="77777777" w:rsidR="00C375E5" w:rsidRPr="00C375E5" w:rsidRDefault="00C375E5" w:rsidP="00C375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Merge/>
            <w:tcBorders>
              <w:top w:val="nil"/>
            </w:tcBorders>
            <w:shd w:val="clear" w:color="auto" w:fill="D8D8D8"/>
            <w:vAlign w:val="center"/>
          </w:tcPr>
          <w:p w14:paraId="6425A34F" w14:textId="77777777" w:rsidR="00C375E5" w:rsidRPr="00C375E5" w:rsidRDefault="00C375E5" w:rsidP="00C375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pct"/>
            <w:vMerge/>
            <w:shd w:val="clear" w:color="auto" w:fill="D8D8D8"/>
            <w:vAlign w:val="center"/>
          </w:tcPr>
          <w:p w14:paraId="12F6E897" w14:textId="77777777" w:rsidR="00C375E5" w:rsidRPr="00C375E5" w:rsidRDefault="00C375E5" w:rsidP="00C375E5">
            <w:pPr>
              <w:pStyle w:val="TableParagraph"/>
              <w:spacing w:line="186" w:lineRule="exact"/>
              <w:ind w:left="109"/>
              <w:jc w:val="center"/>
              <w:rPr>
                <w:b/>
                <w:spacing w:val="-2"/>
                <w:sz w:val="16"/>
                <w:szCs w:val="16"/>
              </w:rPr>
            </w:pPr>
          </w:p>
        </w:tc>
        <w:tc>
          <w:tcPr>
            <w:tcW w:w="649" w:type="pct"/>
            <w:vMerge/>
            <w:shd w:val="clear" w:color="auto" w:fill="D8D8D8"/>
            <w:vAlign w:val="center"/>
          </w:tcPr>
          <w:p w14:paraId="2545A8FF" w14:textId="77777777" w:rsidR="00C375E5" w:rsidRPr="00C375E5" w:rsidRDefault="00C375E5" w:rsidP="00C375E5">
            <w:pPr>
              <w:pStyle w:val="TableParagraph"/>
              <w:spacing w:line="186" w:lineRule="exact"/>
              <w:ind w:left="109"/>
              <w:jc w:val="center"/>
              <w:rPr>
                <w:b/>
                <w:spacing w:val="-2"/>
                <w:sz w:val="16"/>
                <w:szCs w:val="16"/>
              </w:rPr>
            </w:pPr>
          </w:p>
        </w:tc>
        <w:tc>
          <w:tcPr>
            <w:tcW w:w="662" w:type="pct"/>
            <w:shd w:val="clear" w:color="auto" w:fill="D8D8D8"/>
            <w:vAlign w:val="center"/>
          </w:tcPr>
          <w:p w14:paraId="7C7104B1" w14:textId="77777777" w:rsidR="00C375E5" w:rsidRPr="00C375E5" w:rsidRDefault="00C375E5" w:rsidP="00C375E5">
            <w:pPr>
              <w:pStyle w:val="TableParagraph"/>
              <w:spacing w:line="186" w:lineRule="exact"/>
              <w:ind w:left="-3"/>
              <w:jc w:val="center"/>
              <w:rPr>
                <w:b/>
                <w:sz w:val="16"/>
                <w:szCs w:val="16"/>
              </w:rPr>
            </w:pPr>
            <w:r w:rsidRPr="00C375E5">
              <w:rPr>
                <w:b/>
                <w:spacing w:val="-2"/>
                <w:sz w:val="16"/>
                <w:szCs w:val="16"/>
              </w:rPr>
              <w:t>UNITÁRIO</w:t>
            </w:r>
          </w:p>
        </w:tc>
        <w:tc>
          <w:tcPr>
            <w:tcW w:w="664" w:type="pct"/>
            <w:shd w:val="clear" w:color="auto" w:fill="D8D8D8"/>
            <w:vAlign w:val="center"/>
          </w:tcPr>
          <w:p w14:paraId="16CDF423" w14:textId="77777777" w:rsidR="00C375E5" w:rsidRPr="00C375E5" w:rsidRDefault="00C375E5" w:rsidP="00C375E5">
            <w:pPr>
              <w:pStyle w:val="TableParagraph"/>
              <w:spacing w:line="186" w:lineRule="exact"/>
              <w:jc w:val="center"/>
              <w:rPr>
                <w:b/>
                <w:sz w:val="16"/>
                <w:szCs w:val="16"/>
              </w:rPr>
            </w:pPr>
            <w:r w:rsidRPr="00C375E5">
              <w:rPr>
                <w:b/>
                <w:spacing w:val="-4"/>
                <w:sz w:val="16"/>
                <w:szCs w:val="16"/>
              </w:rPr>
              <w:t>TOTAL</w:t>
            </w:r>
          </w:p>
        </w:tc>
      </w:tr>
      <w:tr w:rsidR="00C375E5" w:rsidRPr="00C375E5" w14:paraId="46E633C4" w14:textId="77777777" w:rsidTr="00C375E5">
        <w:trPr>
          <w:trHeight w:val="921"/>
        </w:trPr>
        <w:tc>
          <w:tcPr>
            <w:tcW w:w="471" w:type="pct"/>
            <w:vAlign w:val="center"/>
          </w:tcPr>
          <w:p w14:paraId="1D631032" w14:textId="77777777" w:rsidR="00C375E5" w:rsidRPr="00C375E5" w:rsidRDefault="00C375E5" w:rsidP="00C375E5">
            <w:pPr>
              <w:pStyle w:val="TableParagraph"/>
              <w:spacing w:before="1"/>
              <w:ind w:left="6"/>
              <w:jc w:val="center"/>
              <w:rPr>
                <w:sz w:val="16"/>
                <w:szCs w:val="16"/>
              </w:rPr>
            </w:pPr>
            <w:r w:rsidRPr="00C375E5">
              <w:rPr>
                <w:spacing w:val="-10"/>
                <w:sz w:val="16"/>
                <w:szCs w:val="16"/>
              </w:rPr>
              <w:t>1</w:t>
            </w:r>
          </w:p>
        </w:tc>
        <w:tc>
          <w:tcPr>
            <w:tcW w:w="1498" w:type="pct"/>
            <w:vAlign w:val="center"/>
          </w:tcPr>
          <w:p w14:paraId="7C711AD0" w14:textId="77777777" w:rsidR="00C375E5" w:rsidRPr="00C375E5" w:rsidRDefault="00C375E5" w:rsidP="00C375E5">
            <w:pPr>
              <w:pStyle w:val="TableParagraph"/>
              <w:spacing w:line="230" w:lineRule="atLeast"/>
              <w:ind w:left="105" w:right="95"/>
              <w:jc w:val="center"/>
              <w:rPr>
                <w:sz w:val="16"/>
                <w:szCs w:val="16"/>
              </w:rPr>
            </w:pPr>
            <w:r w:rsidRPr="00C375E5">
              <w:rPr>
                <w:sz w:val="16"/>
                <w:szCs w:val="16"/>
              </w:rPr>
              <w:t>Óleo combustível diesel com as especificações ASTM D975 grau 2 ou BS EN 590:2000, também conhecido por óleo diesel S10.</w:t>
            </w:r>
          </w:p>
        </w:tc>
        <w:tc>
          <w:tcPr>
            <w:tcW w:w="481" w:type="pct"/>
            <w:vAlign w:val="center"/>
          </w:tcPr>
          <w:p w14:paraId="1A1E96CD" w14:textId="77777777" w:rsidR="00C375E5" w:rsidRPr="00C375E5" w:rsidRDefault="00C375E5" w:rsidP="00C375E5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 w:rsidRPr="00C375E5">
              <w:rPr>
                <w:sz w:val="16"/>
                <w:szCs w:val="16"/>
              </w:rPr>
              <w:t>50.000</w:t>
            </w:r>
            <w:r w:rsidRPr="00C375E5">
              <w:rPr>
                <w:spacing w:val="-3"/>
                <w:sz w:val="16"/>
                <w:szCs w:val="16"/>
              </w:rPr>
              <w:t xml:space="preserve"> </w:t>
            </w:r>
            <w:r w:rsidRPr="00C375E5">
              <w:rPr>
                <w:spacing w:val="-2"/>
                <w:sz w:val="16"/>
                <w:szCs w:val="16"/>
              </w:rPr>
              <w:t>Litros</w:t>
            </w:r>
          </w:p>
        </w:tc>
        <w:tc>
          <w:tcPr>
            <w:tcW w:w="575" w:type="pct"/>
            <w:vAlign w:val="center"/>
          </w:tcPr>
          <w:p w14:paraId="228BE60E" w14:textId="77777777" w:rsidR="00C375E5" w:rsidRPr="00C375E5" w:rsidRDefault="00C375E5" w:rsidP="00C375E5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  <w:r w:rsidRPr="00C375E5">
              <w:rPr>
                <w:sz w:val="16"/>
                <w:szCs w:val="16"/>
              </w:rPr>
              <w:t>5,62</w:t>
            </w:r>
          </w:p>
        </w:tc>
        <w:tc>
          <w:tcPr>
            <w:tcW w:w="649" w:type="pct"/>
            <w:vAlign w:val="center"/>
          </w:tcPr>
          <w:p w14:paraId="6C0567AC" w14:textId="77777777" w:rsidR="00C375E5" w:rsidRPr="00C375E5" w:rsidRDefault="00C375E5" w:rsidP="00C375E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pct"/>
            <w:vAlign w:val="center"/>
          </w:tcPr>
          <w:p w14:paraId="2667215B" w14:textId="77777777" w:rsidR="00C375E5" w:rsidRPr="00C375E5" w:rsidRDefault="00C375E5" w:rsidP="00C375E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64" w:type="pct"/>
            <w:vAlign w:val="center"/>
          </w:tcPr>
          <w:p w14:paraId="5D775AE0" w14:textId="77777777" w:rsidR="00C375E5" w:rsidRPr="00C375E5" w:rsidRDefault="00C375E5" w:rsidP="00C375E5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</w:tbl>
    <w:p w14:paraId="7930D164" w14:textId="77777777" w:rsidR="00BC1A81" w:rsidRPr="003F29C4" w:rsidRDefault="00BC1A81" w:rsidP="00BC1A81">
      <w:pPr>
        <w:pStyle w:val="PargrafodaLista"/>
        <w:spacing w:line="360" w:lineRule="auto"/>
        <w:ind w:left="794"/>
        <w:jc w:val="both"/>
        <w:rPr>
          <w:rFonts w:ascii="Times New Roman" w:hAnsi="Times New Roman" w:cs="Times New Roman"/>
          <w:sz w:val="22"/>
          <w:szCs w:val="22"/>
        </w:rPr>
      </w:pP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19777983" w:rsidR="001B4C30" w:rsidRPr="00771F0D" w:rsidRDefault="00771F0D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>O prazo de vigência do Contrato</w:t>
      </w:r>
      <w:r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é de </w:t>
      </w:r>
      <w:bookmarkStart w:id="1" w:name="_Hlk15568169"/>
      <w:r w:rsidR="00BC1A81"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>12</w:t>
      </w:r>
      <w:r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BC1A81"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>doze</w:t>
      </w:r>
      <w:r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42052B"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</w:t>
      </w:r>
      <w:r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>eses</w:t>
      </w:r>
      <w:bookmarkEnd w:id="1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01766836" w:rsidR="006E3CA5" w:rsidRDefault="0070059F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As despesas decorrentes desta contratação estão programadas em dotação orçamentária própria, prevista no orçamen</w:t>
      </w:r>
      <w:r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to da </w:t>
      </w:r>
      <w:r w:rsidR="00C35976"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BC1A81"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>01.01.422616.295.2204039000.20006.00.00</w:t>
      </w:r>
      <w:r w:rsidR="00AE367E" w:rsidRPr="00C375E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1A376524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6112CBC4" w14:textId="77777777" w:rsidR="0050412E" w:rsidRDefault="0050412E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4D211BC3" w:rsidR="0070059F" w:rsidRPr="008513F6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C375E5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5FEB60A5" w:rsidR="0070059F" w:rsidRPr="008513F6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C375E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905DD3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0BCCD11E" w:rsidR="00224134" w:rsidRPr="00BC1A81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C375E5">
        <w:rPr>
          <w:rFonts w:ascii="Times New Roman" w:hAnsi="Times New Roman"/>
          <w:color w:val="000000" w:themeColor="text1"/>
          <w:sz w:val="22"/>
          <w:szCs w:val="22"/>
        </w:rPr>
        <w:t>PRIMEIRA</w:t>
      </w:r>
      <w:r w:rsidRPr="00BC1A81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BC1A81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BC1A81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BC1A81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BC1A81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1EF3710F" w:rsidR="00224134" w:rsidRPr="00BC1A81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BC1A81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BC1A81">
        <w:rPr>
          <w:rFonts w:ascii="Times New Roman" w:hAnsi="Times New Roman"/>
          <w:color w:val="000000" w:themeColor="text1"/>
          <w:sz w:val="22"/>
          <w:szCs w:val="22"/>
        </w:rPr>
        <w:t xml:space="preserve">DÉCIMA </w:t>
      </w:r>
      <w:r w:rsidR="00C375E5">
        <w:rPr>
          <w:rFonts w:ascii="Times New Roman" w:hAnsi="Times New Roman"/>
          <w:color w:val="000000" w:themeColor="text1"/>
          <w:sz w:val="22"/>
          <w:szCs w:val="22"/>
        </w:rPr>
        <w:t>SEGUNDA</w:t>
      </w:r>
      <w:r w:rsidRPr="00BC1A81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BC1A81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C1A81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6597B042" w:rsidR="00224134" w:rsidRPr="00AE367E" w:rsidRDefault="00224134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C375E5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545211E2" w:rsidR="00224134" w:rsidRPr="00913B41" w:rsidRDefault="00224134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905DD3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738EE306" w:rsidR="0070059F" w:rsidRPr="00FF578B" w:rsidRDefault="0070059F" w:rsidP="00FA5ED3">
      <w:pPr>
        <w:pStyle w:val="Nivel1"/>
        <w:numPr>
          <w:ilvl w:val="0"/>
          <w:numId w:val="36"/>
        </w:numPr>
        <w:spacing w:before="0" w:line="360" w:lineRule="auto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C375E5">
        <w:rPr>
          <w:rFonts w:ascii="Times New Roman" w:hAnsi="Times New Roman"/>
          <w:sz w:val="22"/>
          <w:szCs w:val="22"/>
        </w:rPr>
        <w:t>QUARTA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</w:p>
    <w:p w14:paraId="08A0E5D3" w14:textId="77777777" w:rsidR="00FA65D6" w:rsidRPr="003A5F6E" w:rsidRDefault="00FA65D6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5DA3FB4E" w:rsidR="0070059F" w:rsidRPr="003A5F6E" w:rsidRDefault="0070059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C375E5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3F0FF866" w14:textId="716C4FC0" w:rsid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Sem prejuízo da aplicação das sanções previstas na Cláusula Décima </w:t>
      </w:r>
      <w:r w:rsidR="00C375E5">
        <w:rPr>
          <w:rFonts w:ascii="Times New Roman" w:hAnsi="Times New Roman" w:cs="Times New Roman"/>
          <w:sz w:val="22"/>
          <w:szCs w:val="22"/>
        </w:rPr>
        <w:t>Quarta</w:t>
      </w:r>
      <w:r w:rsidRPr="00FA5ED3">
        <w:rPr>
          <w:rFonts w:ascii="Times New Roman" w:hAnsi="Times New Roman" w:cs="Times New Roman"/>
          <w:sz w:val="22"/>
          <w:szCs w:val="22"/>
        </w:rPr>
        <w:t>, o presente Termo de Contrato poderá ser rescindido nas seguintes hipóteses:</w:t>
      </w:r>
    </w:p>
    <w:p w14:paraId="3E6B49F2" w14:textId="3CEAA9A1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Não cumprimento de cláusulas contratuais, especificações, projetos ou prazos</w:t>
      </w:r>
      <w:r w:rsidR="00963E45">
        <w:rPr>
          <w:rFonts w:ascii="Times New Roman" w:hAnsi="Times New Roman" w:cs="Times New Roman"/>
          <w:sz w:val="22"/>
          <w:szCs w:val="22"/>
        </w:rPr>
        <w:t xml:space="preserve"> de forma total ou parcial</w:t>
      </w:r>
      <w:r w:rsidRPr="00FA5ED3">
        <w:rPr>
          <w:rFonts w:ascii="Times New Roman" w:hAnsi="Times New Roman" w:cs="Times New Roman"/>
          <w:sz w:val="22"/>
          <w:szCs w:val="22"/>
        </w:rPr>
        <w:t>;</w:t>
      </w:r>
    </w:p>
    <w:p w14:paraId="35009112" w14:textId="0A7F18E5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Decretação de falência ou a instauração de insolvência civil; </w:t>
      </w:r>
    </w:p>
    <w:p w14:paraId="71CA364E" w14:textId="48EACE46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Descumprimento do disposto no inciso XXXIII do artigo 7º da Constituição Federal, que proíbe o trabalho noturno, perigoso ou insalubre a menores de 18 anos e qualquer trabalho a menores de 16 anos, salvo na condição de aprendiz, a partir de 14 anos; </w:t>
      </w:r>
    </w:p>
    <w:p w14:paraId="75923536" w14:textId="6DB5261D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lesivos à Administração Pública previstos na Lei nº 12.846/2013; </w:t>
      </w:r>
    </w:p>
    <w:p w14:paraId="05104198" w14:textId="5984234A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Inobservância da vedação ao nepotismo; </w:t>
      </w:r>
    </w:p>
    <w:p w14:paraId="5BB12A20" w14:textId="3D4AB85B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Prática de atos que prejudiquem ou comprometam à imagem ou reputação da Hemobrás, direta ou indiretamente. </w:t>
      </w:r>
    </w:p>
    <w:p w14:paraId="36A9F986" w14:textId="2FB8B4F3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Os casos de rescisão contratual serão formalmente motivados, assegurando-se </w:t>
      </w:r>
      <w:r w:rsidR="00963E45">
        <w:rPr>
          <w:rFonts w:ascii="Times New Roman" w:hAnsi="Times New Roman" w:cs="Times New Roman"/>
          <w:sz w:val="22"/>
          <w:szCs w:val="22"/>
        </w:rPr>
        <w:t xml:space="preserve">o direito </w:t>
      </w:r>
      <w:r w:rsidRPr="00FA5ED3">
        <w:rPr>
          <w:rFonts w:ascii="Times New Roman" w:hAnsi="Times New Roman" w:cs="Times New Roman"/>
          <w:sz w:val="22"/>
          <w:szCs w:val="22"/>
        </w:rPr>
        <w:t xml:space="preserve">à </w:t>
      </w:r>
      <w:r w:rsidR="00963E45">
        <w:rPr>
          <w:rFonts w:ascii="Times New Roman" w:hAnsi="Times New Roman" w:cs="Times New Roman"/>
          <w:sz w:val="22"/>
          <w:szCs w:val="22"/>
        </w:rPr>
        <w:t>p</w:t>
      </w:r>
      <w:r w:rsidRPr="00FA5ED3">
        <w:rPr>
          <w:rFonts w:ascii="Times New Roman" w:hAnsi="Times New Roman" w:cs="Times New Roman"/>
          <w:sz w:val="22"/>
          <w:szCs w:val="22"/>
        </w:rPr>
        <w:t>révia e ampla defesa.</w:t>
      </w:r>
    </w:p>
    <w:p w14:paraId="31D652BC" w14:textId="1EE04F99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A CONTRATADA reconhece os direitos da Hemobrás em caso de rescisão administrativa prevista neste instrumento de contrato, e as previstas na lei e no Regulamento de Licitações e Contratos da Hemobrás.</w:t>
      </w:r>
    </w:p>
    <w:p w14:paraId="0630D3F6" w14:textId="1E5A6645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1A4039CB" w14:textId="50AC8EAF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2CF5E7C8" w14:textId="09D72316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70C99E9F" w14:textId="1D69B92B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01D73818" w14:textId="7BF1669B" w:rsidR="00FA5ED3" w:rsidRPr="00FA5ED3" w:rsidRDefault="00FA5ED3" w:rsidP="00FA5ED3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388FADC9" w14:textId="76FA4D27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7B0AD348" w14:textId="7B6ED351" w:rsidR="00FA5ED3" w:rsidRP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2790CA1A" w14:textId="65ADB7E5" w:rsidR="00FA5ED3" w:rsidRDefault="00FA5ED3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FA5ED3">
        <w:rPr>
          <w:rFonts w:ascii="Times New Roman" w:hAnsi="Times New Roman" w:cs="Times New Roman"/>
          <w:sz w:val="22"/>
          <w:szCs w:val="22"/>
        </w:rPr>
        <w:t>Por determinação judicial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31D742E2" w:rsidR="00A52E7C" w:rsidRPr="008513F6" w:rsidRDefault="00A52E7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C375E5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2540E4A5" w:rsidR="00A52E7C" w:rsidRDefault="00A52E7C" w:rsidP="004E36FA">
      <w:pPr>
        <w:pStyle w:val="PargrafodaLista"/>
        <w:numPr>
          <w:ilvl w:val="2"/>
          <w:numId w:val="36"/>
        </w:numPr>
        <w:spacing w:line="360" w:lineRule="auto"/>
        <w:ind w:left="1134" w:hanging="68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5904876" w14:textId="77777777" w:rsidR="007930D8" w:rsidRDefault="007930D8" w:rsidP="007930D8">
      <w:pPr>
        <w:pStyle w:val="PargrafodaLista"/>
        <w:spacing w:line="360" w:lineRule="auto"/>
        <w:ind w:left="1134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0AA4D793" w:rsidR="00224134" w:rsidRPr="00FF578B" w:rsidRDefault="00224134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375E5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535A6628" w:rsidR="000D6C4C" w:rsidRPr="003F29C4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C375E5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08315D70" w:rsidR="001742AA" w:rsidRPr="0033246C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>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2F5C10DE" w:rsidR="007B70CF" w:rsidRPr="008513F6" w:rsidRDefault="007B70CF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C375E5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09953592" w:rsidR="007B70CF" w:rsidRDefault="007B70C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</w:t>
      </w:r>
      <w:r w:rsidR="0034738D">
        <w:rPr>
          <w:rFonts w:ascii="Times New Roman" w:hAnsi="Times New Roman" w:cs="Times New Roman"/>
          <w:sz w:val="22"/>
          <w:szCs w:val="22"/>
        </w:rPr>
        <w:t>os</w:t>
      </w:r>
      <w:r w:rsidR="00FD6264">
        <w:rPr>
          <w:rFonts w:ascii="Times New Roman" w:hAnsi="Times New Roman" w:cs="Times New Roman"/>
          <w:sz w:val="22"/>
          <w:szCs w:val="22"/>
        </w:rPr>
        <w:t xml:space="preserve">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693970EB" w:rsidR="0070059F" w:rsidRPr="008513F6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C375E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11B8C54" w:rsidR="0068362E" w:rsidRPr="008513F6" w:rsidRDefault="0068362E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C375E5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255812CF" w14:textId="434A010E" w:rsidR="008340FB" w:rsidRPr="008340FB" w:rsidRDefault="008340FB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340FB">
        <w:rPr>
          <w:rFonts w:ascii="Times New Roman" w:hAnsi="Times New Roman" w:cs="Times New Roman"/>
          <w:sz w:val="22"/>
          <w:szCs w:val="22"/>
        </w:rPr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</w:t>
      </w:r>
      <w:r w:rsidRPr="008340FB">
        <w:rPr>
          <w:rFonts w:ascii="Times New Roman" w:hAnsi="Times New Roman" w:cs="Times New Roman"/>
          <w:sz w:val="22"/>
          <w:szCs w:val="22"/>
        </w:rPr>
        <w:lastRenderedPageBreak/>
        <w:t xml:space="preserve">aplicável (conforme critérios estabelecidos pela Hemobrás), submeter-se à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340FB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8340FB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</w:t>
      </w:r>
      <w:r w:rsidR="00427232">
        <w:rPr>
          <w:rFonts w:ascii="Times New Roman" w:hAnsi="Times New Roman" w:cs="Times New Roman"/>
          <w:sz w:val="22"/>
          <w:szCs w:val="22"/>
        </w:rPr>
        <w:t>a</w:t>
      </w:r>
      <w:r w:rsidRPr="008340FB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6A7333E6" w:rsidR="00362BD8" w:rsidRPr="008513F6" w:rsidRDefault="00362BD8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C375E5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1FDA40D7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5ECABC0E" w:rsidR="0070059F" w:rsidRPr="008513F6" w:rsidRDefault="000D6C4C" w:rsidP="00FA5ED3">
      <w:pPr>
        <w:pStyle w:val="PargrafodaLista"/>
        <w:numPr>
          <w:ilvl w:val="0"/>
          <w:numId w:val="36"/>
        </w:numPr>
        <w:spacing w:line="36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C375E5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4E36FA">
      <w:pPr>
        <w:pStyle w:val="PargrafodaLista"/>
        <w:numPr>
          <w:ilvl w:val="1"/>
          <w:numId w:val="36"/>
        </w:numPr>
        <w:spacing w:line="360" w:lineRule="auto"/>
        <w:ind w:left="79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9FEBE07" w14:textId="10C78A2D" w:rsidR="00543CF4" w:rsidRPr="00385D96" w:rsidRDefault="00543CF4" w:rsidP="00543CF4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40571734"/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 w:rsidR="0050587E"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bookmarkEnd w:id="2"/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543CF4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543CF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543CF4" w:rsidRPr="00385D96" w14:paraId="72892191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889E33E" w14:textId="77777777" w:rsid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14:paraId="657CC85A" w14:textId="11D9B88E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7F1F0EF1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8D231E" w14:textId="77777777" w:rsidR="00543CF4" w:rsidRPr="00543CF4" w:rsidRDefault="00543CF4" w:rsidP="009F6CE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543CF4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543CF4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543CF4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43C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8039EB">
      <w:headerReference w:type="default" r:id="rId7"/>
      <w:footerReference w:type="default" r:id="rId8"/>
      <w:pgSz w:w="11906" w:h="16838"/>
      <w:pgMar w:top="1418" w:right="1134" w:bottom="1418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F075D" w14:textId="77777777" w:rsidR="00D71CFC" w:rsidRDefault="00D71CFC">
      <w:r>
        <w:separator/>
      </w:r>
    </w:p>
  </w:endnote>
  <w:endnote w:type="continuationSeparator" w:id="0">
    <w:p w14:paraId="349FB34A" w14:textId="77777777" w:rsidR="00D71CFC" w:rsidRDefault="00D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9616900"/>
      <w:docPartObj>
        <w:docPartGallery w:val="Page Numbers (Top of Page)"/>
        <w:docPartUnique/>
      </w:docPartObj>
    </w:sdtPr>
    <w:sdtEndPr/>
    <w:sdtContent>
      <w:p w14:paraId="53CD7CAB" w14:textId="77777777" w:rsidR="008039EB" w:rsidRPr="007E518D" w:rsidRDefault="008039EB" w:rsidP="008039EB">
        <w:pPr>
          <w:pStyle w:val="Rodap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>Boa Viagem Corporate, Rua Prof. Aloisio Pessoa de Araújo, 75, 8º e 9º andares, Boa Viagem, Recife-PE</w:t>
        </w:r>
      </w:p>
      <w:p w14:paraId="0D349E77" w14:textId="77777777" w:rsidR="008039EB" w:rsidRPr="007E518D" w:rsidRDefault="008039EB" w:rsidP="008039EB">
        <w:pPr>
          <w:pStyle w:val="Rodap"/>
          <w:jc w:val="center"/>
          <w:rPr>
            <w:rFonts w:ascii="Times New Roman" w:hAnsi="Times New Roman" w:cs="Times New Roman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>CEP: 51021-410 | Telefone: (81) 3464-9600 | www.hemobras.gov.br</w:t>
        </w:r>
      </w:p>
      <w:p w14:paraId="36AFF5C0" w14:textId="77777777" w:rsidR="008039EB" w:rsidRPr="007E518D" w:rsidRDefault="008039EB" w:rsidP="008039EB">
        <w:pPr>
          <w:pStyle w:val="Rodap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Página 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7E518D">
          <w:rPr>
            <w:rFonts w:ascii="Times New Roman" w:hAnsi="Times New Roman" w:cs="Times New Roman"/>
            <w:sz w:val="16"/>
            <w:szCs w:val="16"/>
          </w:rPr>
          <w:t xml:space="preserve"> de 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t>8</w:t>
        </w:r>
        <w:r w:rsidRPr="007E518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  <w:p w14:paraId="17739B46" w14:textId="7CE2A112" w:rsidR="008039EB" w:rsidRPr="007E518D" w:rsidRDefault="00177AEE" w:rsidP="008039EB">
        <w:pPr>
          <w:pStyle w:val="Rodap"/>
          <w:jc w:val="right"/>
          <w:rPr>
            <w:rFonts w:ascii="Times New Roman" w:hAnsi="Times New Roman" w:cs="Times New Roman"/>
            <w:sz w:val="16"/>
            <w:szCs w:val="16"/>
          </w:rPr>
        </w:pPr>
        <w:r w:rsidRPr="007E518D">
          <w:rPr>
            <w:rFonts w:ascii="Times New Roman" w:hAnsi="Times New Roman" w:cs="Times New Roman"/>
            <w:sz w:val="16"/>
            <w:szCs w:val="16"/>
          </w:rPr>
          <w:t xml:space="preserve">Modelo padronizado </w:t>
        </w:r>
        <w:r w:rsidR="00156835" w:rsidRPr="007E518D">
          <w:rPr>
            <w:rFonts w:ascii="Times New Roman" w:hAnsi="Times New Roman" w:cs="Times New Roman"/>
            <w:sz w:val="16"/>
            <w:szCs w:val="16"/>
          </w:rPr>
          <w:t>–</w:t>
        </w:r>
        <w:r w:rsidRPr="007E518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039EB" w:rsidRPr="007E518D">
          <w:rPr>
            <w:rFonts w:ascii="Times New Roman" w:hAnsi="Times New Roman" w:cs="Times New Roman"/>
            <w:sz w:val="16"/>
            <w:szCs w:val="16"/>
          </w:rPr>
          <w:t>Minuta de Contrato</w:t>
        </w:r>
      </w:p>
      <w:p w14:paraId="49187BB6" w14:textId="1E9BBAF2" w:rsidR="008039EB" w:rsidRDefault="008039EB" w:rsidP="008039EB">
        <w:pPr>
          <w:pStyle w:val="Rodap"/>
          <w:ind w:left="964" w:hanging="680"/>
          <w:jc w:val="right"/>
        </w:pPr>
        <w:r w:rsidRPr="007E518D">
          <w:rPr>
            <w:rFonts w:ascii="Times New Roman" w:hAnsi="Times New Roman" w:cs="Times New Roman"/>
            <w:sz w:val="16"/>
            <w:szCs w:val="16"/>
          </w:rPr>
          <w:t>Versão – Novembro/2023 –</w:t>
        </w:r>
        <w:r w:rsidR="00177AEE" w:rsidRPr="007E518D">
          <w:rPr>
            <w:rFonts w:ascii="Times New Roman" w:hAnsi="Times New Roman" w:cs="Times New Roman"/>
            <w:sz w:val="16"/>
            <w:szCs w:val="16"/>
          </w:rPr>
          <w:t xml:space="preserve"> A</w:t>
        </w:r>
        <w:r w:rsidRPr="007E518D">
          <w:rPr>
            <w:rFonts w:ascii="Times New Roman" w:hAnsi="Times New Roman" w:cs="Times New Roman"/>
            <w:sz w:val="16"/>
            <w:szCs w:val="16"/>
          </w:rPr>
          <w:t>provado pelo Parecer Jurídico 1</w:t>
        </w:r>
        <w:r w:rsidR="00A32272">
          <w:rPr>
            <w:rFonts w:ascii="Times New Roman" w:hAnsi="Times New Roman" w:cs="Times New Roman"/>
            <w:sz w:val="16"/>
            <w:szCs w:val="16"/>
          </w:rPr>
          <w:t>6</w:t>
        </w:r>
        <w:r w:rsidRPr="007E518D">
          <w:rPr>
            <w:rFonts w:ascii="Times New Roman" w:hAnsi="Times New Roman" w:cs="Times New Roman"/>
            <w:sz w:val="16"/>
            <w:szCs w:val="16"/>
          </w:rPr>
          <w:t>1/2023/PJ/Hemobrás</w:t>
        </w:r>
      </w:p>
    </w:sdtContent>
  </w:sdt>
  <w:p w14:paraId="3805BFE1" w14:textId="77777777" w:rsidR="008039EB" w:rsidRDefault="008039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DAB6A" w14:textId="77777777" w:rsidR="00D71CFC" w:rsidRDefault="00D71CFC">
      <w:r>
        <w:separator/>
      </w:r>
    </w:p>
  </w:footnote>
  <w:footnote w:type="continuationSeparator" w:id="0">
    <w:p w14:paraId="02E5376A" w14:textId="77777777" w:rsidR="00D71CFC" w:rsidRDefault="00D71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12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E471F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35"/>
    <w:rsid w:val="0015684D"/>
    <w:rsid w:val="00160BBD"/>
    <w:rsid w:val="00160DA4"/>
    <w:rsid w:val="00161B87"/>
    <w:rsid w:val="001641A5"/>
    <w:rsid w:val="00164230"/>
    <w:rsid w:val="0016584A"/>
    <w:rsid w:val="001671B9"/>
    <w:rsid w:val="00170CE1"/>
    <w:rsid w:val="001742AA"/>
    <w:rsid w:val="00174CAA"/>
    <w:rsid w:val="00177AEE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8E2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38D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DE8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27232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36FA"/>
    <w:rsid w:val="004E79BB"/>
    <w:rsid w:val="004F1A48"/>
    <w:rsid w:val="004F5DF9"/>
    <w:rsid w:val="004F66B4"/>
    <w:rsid w:val="004F78C6"/>
    <w:rsid w:val="0050224C"/>
    <w:rsid w:val="005037A6"/>
    <w:rsid w:val="0050412E"/>
    <w:rsid w:val="0050587E"/>
    <w:rsid w:val="00512A5C"/>
    <w:rsid w:val="00512D53"/>
    <w:rsid w:val="00514883"/>
    <w:rsid w:val="00517D9B"/>
    <w:rsid w:val="0053132E"/>
    <w:rsid w:val="005318A1"/>
    <w:rsid w:val="00535014"/>
    <w:rsid w:val="005377C5"/>
    <w:rsid w:val="00543CF4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30D8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18D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39EB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40FB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5DD3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63E45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356D"/>
    <w:rsid w:val="00A055A5"/>
    <w:rsid w:val="00A12A7C"/>
    <w:rsid w:val="00A1330E"/>
    <w:rsid w:val="00A17F88"/>
    <w:rsid w:val="00A245AE"/>
    <w:rsid w:val="00A26A56"/>
    <w:rsid w:val="00A27DA5"/>
    <w:rsid w:val="00A30058"/>
    <w:rsid w:val="00A32272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44DC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1A81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375E5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1CFC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307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04E21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5ED3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375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375E5"/>
    <w:pPr>
      <w:widowControl w:val="0"/>
      <w:autoSpaceDE w:val="0"/>
      <w:autoSpaceDN w:val="0"/>
    </w:pPr>
    <w:rPr>
      <w:rFonts w:ascii="Times New Roman" w:hAnsi="Times New Roman" w:cs="Times New Roman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63</TotalTime>
  <Pages>1</Pages>
  <Words>1864</Words>
  <Characters>10398</Characters>
  <Application>Microsoft Office Word</Application>
  <DocSecurity>0</DocSecurity>
  <Lines>86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27</cp:revision>
  <cp:lastPrinted>2017-09-20T20:17:00Z</cp:lastPrinted>
  <dcterms:created xsi:type="dcterms:W3CDTF">2023-01-05T12:56:00Z</dcterms:created>
  <dcterms:modified xsi:type="dcterms:W3CDTF">2025-10-22T12:51:00Z</dcterms:modified>
</cp:coreProperties>
</file>