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 xml:space="preserve">ANEXO III DO EDITAL </w:t>
      </w:r>
    </w:p>
    <w:p>
      <w:pPr>
        <w:pStyle w:val="Normal"/>
        <w:jc w:val="center"/>
        <w:rPr/>
      </w:pPr>
      <w:r>
        <w:rPr/>
        <w:t>CHECK-LIST DOS DOCUMENTOS A SEREM APRESENTADOS</w:t>
      </w:r>
    </w:p>
    <w:tbl>
      <w:tblPr>
        <w:tblStyle w:val="Tabelacomgrade"/>
        <w:tblpPr w:bottomFromText="0" w:horzAnchor="margin" w:leftFromText="141" w:rightFromText="141" w:tblpX="0" w:tblpY="1867" w:topFromText="0" w:vertAnchor="page"/>
        <w:tblW w:w="1088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54"/>
        <w:gridCol w:w="6915"/>
        <w:gridCol w:w="58"/>
        <w:gridCol w:w="654"/>
      </w:tblGrid>
      <w:tr>
        <w:trPr/>
        <w:tc>
          <w:tcPr>
            <w:tcW w:w="10881" w:type="dxa"/>
            <w:gridSpan w:val="4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>
        <w:trPr>
          <w:trHeight w:val="454" w:hRule="atLeast"/>
        </w:trPr>
        <w:tc>
          <w:tcPr>
            <w:tcW w:w="10169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Proposta de preço - Modelo de apresentação de proposta - </w:t>
            </w:r>
            <w:r>
              <w:rPr>
                <w:color w:val="000000"/>
                <w:sz w:val="18"/>
                <w:szCs w:val="18"/>
              </w:rPr>
              <w:t xml:space="preserve">Anexos </w:t>
            </w: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pt-BR" w:eastAsia="en-US" w:bidi="ar-SA"/>
              </w:rPr>
              <w:t>X</w:t>
            </w:r>
            <w:r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10169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Planilha de custos e formação de preços - </w:t>
            </w:r>
            <w:r>
              <w:rPr>
                <w:bCs/>
                <w:color w:val="000000"/>
                <w:sz w:val="18"/>
                <w:szCs w:val="18"/>
              </w:rPr>
              <w:t xml:space="preserve">Anexo </w:t>
            </w:r>
            <w:r>
              <w:rPr>
                <w:rFonts w:eastAsia="Calibri" w:cs="Times New Roman"/>
                <w:bCs/>
                <w:color w:val="000000"/>
                <w:kern w:val="0"/>
                <w:sz w:val="18"/>
                <w:szCs w:val="18"/>
                <w:lang w:val="pt-BR" w:eastAsia="en-US" w:bidi="ar-SA"/>
              </w:rPr>
              <w:t xml:space="preserve">IX </w:t>
            </w:r>
            <w:r>
              <w:rPr>
                <w:rFonts w:eastAsia="Calibri" w:cs="Times New Roman"/>
                <w:bCs/>
                <w:color w:val="000000"/>
                <w:kern w:val="0"/>
                <w:sz w:val="18"/>
                <w:szCs w:val="18"/>
                <w:lang w:val="pt-BR" w:eastAsia="en-US" w:bidi="ar-SA"/>
              </w:rPr>
              <w:t>a IX-H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do Termo de Referência.</w:t>
            </w:r>
          </w:p>
        </w:tc>
        <w:tc>
          <w:tcPr>
            <w:tcW w:w="71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0881" w:type="dxa"/>
            <w:gridSpan w:val="4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>
        <w:trPr>
          <w:trHeight w:val="454" w:hRule="atLeast"/>
        </w:trPr>
        <w:tc>
          <w:tcPr>
            <w:tcW w:w="325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325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325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325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Certificado da Condição de Microempreendedor Individual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325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0881" w:type="dxa"/>
            <w:gridSpan w:val="4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FISCAL</w:t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Prova de regularidade com a Seguridade Social, nos termos da Portaria Conjunta nº 1.751, de 02/10/2014, do Secretário da Receita Federal do Brasil e da Procuradora-Geral da Fazenda Nacional.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Prova de regularidade com o Fundo de Garantia do Tempo de Serviço (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FGTS</w:t>
            </w:r>
            <w:r>
              <w:rPr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0881" w:type="dxa"/>
            <w:gridSpan w:val="4"/>
            <w:tcBorders/>
            <w:shd w:color="auto" w:fill="BFBFBF" w:themeFill="background1" w:themeFillShade="bf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QUALIFICAÇÃO ECONÔMICO-FINANCEIRA</w:t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Balanço patrimonial e demonstrações contábeis do último exercício social.</w:t>
            </w:r>
            <w:bookmarkStart w:id="0" w:name="_GoBack"/>
            <w:bookmarkEnd w:id="0"/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0881" w:type="dxa"/>
            <w:gridSpan w:val="4"/>
            <w:tcBorders/>
            <w:shd w:color="auto" w:fill="BFBFBF" w:themeFill="background1" w:themeFillShade="bf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QUALIFICAÇÃO TÉCNICA</w:t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rPr>
                <w:i w:val="false"/>
                <w:i w:val="false"/>
                <w:iCs w:val="false"/>
                <w:color w:val="000000"/>
                <w:sz w:val="18"/>
                <w:szCs w:val="18"/>
              </w:rPr>
            </w:pPr>
            <w:r>
              <w:rPr>
                <w:i w:val="false"/>
                <w:iCs w:val="false"/>
                <w:color w:val="000000"/>
                <w:sz w:val="18"/>
                <w:szCs w:val="18"/>
                <w:u w:val="single"/>
              </w:rPr>
              <w:t>Atestados</w:t>
            </w:r>
            <w:r>
              <w:rPr>
                <w:i w:val="false"/>
                <w:iCs w:val="false"/>
                <w:color w:val="000000"/>
                <w:sz w:val="18"/>
                <w:szCs w:val="18"/>
              </w:rPr>
              <w:t xml:space="preserve"> fornecidos por pessoas jurídicas de direito público ou privado comprova</w:t>
            </w:r>
            <w:r>
              <w:rPr>
                <w:i w:val="false"/>
                <w:iCs w:val="false"/>
                <w:color w:val="000000"/>
                <w:sz w:val="18"/>
                <w:szCs w:val="18"/>
              </w:rPr>
              <w:t>ndo</w:t>
            </w:r>
            <w:r>
              <w:rPr>
                <w:i w:val="false"/>
                <w:iCs w:val="false"/>
                <w:color w:val="000000"/>
                <w:sz w:val="18"/>
                <w:szCs w:val="18"/>
              </w:rPr>
              <w:t xml:space="preserve"> que tenha executado contrato(s) para prestação de serviços de terceirização, gerenciamento de mão de obra, nas seguintes condições: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i w:val="false"/>
                <w:i w:val="false"/>
                <w:iCs w:val="false"/>
                <w:color w:val="000000"/>
                <w:sz w:val="18"/>
                <w:szCs w:val="18"/>
              </w:rPr>
            </w:pPr>
            <w:r>
              <w:rPr>
                <w:i w:val="false"/>
                <w:iCs w:val="false"/>
                <w:color w:val="000000"/>
                <w:sz w:val="18"/>
                <w:szCs w:val="18"/>
                <w:u w:val="single"/>
              </w:rPr>
              <w:t>Tempo de experiência</w:t>
            </w:r>
            <w:r>
              <w:rPr>
                <w:i w:val="false"/>
                <w:iCs w:val="false"/>
                <w:color w:val="000000"/>
                <w:sz w:val="18"/>
                <w:szCs w:val="18"/>
              </w:rPr>
              <w:t>: 01 (um) ano;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i w:val="false"/>
                <w:i w:val="false"/>
                <w:iCs w:val="false"/>
                <w:color w:val="000000"/>
                <w:sz w:val="18"/>
                <w:szCs w:val="18"/>
              </w:rPr>
            </w:pPr>
            <w:r>
              <w:rPr>
                <w:i w:val="false"/>
                <w:iCs w:val="false"/>
                <w:color w:val="000000"/>
                <w:sz w:val="18"/>
                <w:szCs w:val="18"/>
                <w:u w:val="single"/>
              </w:rPr>
              <w:t>Número de Postos de Trabalho</w:t>
            </w:r>
            <w:r>
              <w:rPr>
                <w:i w:val="false"/>
                <w:iCs w:val="false"/>
                <w:color w:val="000000"/>
                <w:sz w:val="18"/>
                <w:szCs w:val="18"/>
              </w:rPr>
              <w:t>: Comprovação de que tenha executado contrato(s) em número de postos equivalentes ao da contratação, considerando-se a soma do quantitativo de postos dos serviços de copeiragem, recepcionista, encarregado e auxiliar de arquivo previstos neste Termo de Referência, somados ao quantitativo de postos para o serviço de limpeza indicados pela licitante, com base na produtividade indicada em conformidade com este Termo de Referência.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rPr>
                <w:i w:val="false"/>
                <w:i w:val="false"/>
                <w:iCs w:val="false"/>
                <w:color w:val="000000"/>
                <w:sz w:val="18"/>
                <w:szCs w:val="18"/>
              </w:rPr>
            </w:pPr>
            <w:r>
              <w:rPr>
                <w:i w:val="false"/>
                <w:iCs w:val="false"/>
                <w:color w:val="000000"/>
                <w:sz w:val="18"/>
                <w:szCs w:val="18"/>
                <w:u w:val="single"/>
              </w:rPr>
              <w:t>Declaração</w:t>
            </w:r>
            <w:r>
              <w:rPr>
                <w:i w:val="false"/>
                <w:iCs w:val="false"/>
                <w:color w:val="000000"/>
                <w:sz w:val="18"/>
                <w:szCs w:val="18"/>
              </w:rPr>
              <w:t xml:space="preserve"> de que instalará escritório no raio máximo de até 30 (trinta) km da cidade de Recife-PE ou de Goiana-PE, a ser comprovado no prazo máximo de 60 (sessenta) dias contado</w:t>
            </w:r>
            <w:r>
              <w:rPr>
                <w:i w:val="false"/>
                <w:iCs w:val="false"/>
                <w:color w:val="000000"/>
                <w:sz w:val="18"/>
                <w:szCs w:val="18"/>
              </w:rPr>
              <w:t>s</w:t>
            </w:r>
            <w:r>
              <w:rPr>
                <w:i w:val="false"/>
                <w:iCs w:val="false"/>
                <w:color w:val="000000"/>
                <w:sz w:val="18"/>
                <w:szCs w:val="18"/>
              </w:rPr>
              <w:t xml:space="preserve"> a partir da assinatura do contrato, conforme modelo do ANEXO VIII deste Termo de Referência. </w:t>
            </w:r>
          </w:p>
        </w:tc>
        <w:tc>
          <w:tcPr>
            <w:tcW w:w="65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360" w:before="0" w:after="0"/>
      <w:jc w:val="both"/>
    </w:pPr>
    <w:rPr>
      <w:rFonts w:ascii="Times New Roman" w:hAnsi="Times New Roman" w:eastAsia="Calibri" w:cs="Times New Roman" w:eastAsiaTheme="minorHAnsi"/>
      <w:color w:val="auto"/>
      <w:kern w:val="0"/>
      <w:sz w:val="22"/>
      <w:szCs w:val="22"/>
      <w:lang w:val="pt-BR" w:eastAsia="en-US" w:bidi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 w:val="true"/>
      <w:keepLines/>
      <w:shd w:val="clear" w:color="auto" w:fill="A6A6A6" w:themeFill="background1" w:themeFillShade="a6"/>
      <w:ind w:left="432" w:hanging="432"/>
      <w:outlineLvl w:val="0"/>
    </w:pPr>
    <w:rPr>
      <w:rFonts w:eastAsia="" w:cs="" w:cstheme="majorBidi" w:eastAsiaTheme="majorEastAsia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 w:val="true"/>
      <w:keepLines/>
      <w:spacing w:lineRule="auto" w:line="240"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szCs w:val="24"/>
      <w:lang w:eastAsia="pt-BR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tulo1Char" w:customStyle="1">
    <w:name w:val="Título 1 Char"/>
    <w:basedOn w:val="DefaultParagraphFont"/>
    <w:link w:val="Ttulo1"/>
    <w:uiPriority w:val="9"/>
    <w:qFormat/>
    <w:rsid w:val="007b063e"/>
    <w:rPr>
      <w:rFonts w:eastAsia="" w:cs="" w:cstheme="majorBidi" w:eastAsiaTheme="majorEastAsia"/>
      <w:b/>
      <w:bCs/>
      <w:sz w:val="24"/>
      <w:szCs w:val="28"/>
      <w:shd w:fill="A6A6A6" w:val="clear"/>
      <w:lang w:eastAsia="pt-BR"/>
    </w:rPr>
  </w:style>
  <w:style w:type="character" w:styleId="Ttulo6Char" w:customStyle="1">
    <w:name w:val="Título 6 Char"/>
    <w:basedOn w:val="DefaultParagraphFont"/>
    <w:link w:val="Ttulo6"/>
    <w:uiPriority w:val="9"/>
    <w:semiHidden/>
    <w:qFormat/>
    <w:rsid w:val="00291091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szCs w:val="24"/>
      <w:lang w:eastAsia="pt-BR"/>
    </w:rPr>
  </w:style>
  <w:style w:type="character" w:styleId="PargrafodaListaChar" w:customStyle="1">
    <w:name w:val="Parágrafo da Lista Char"/>
    <w:basedOn w:val="DefaultParagraphFont"/>
    <w:link w:val="PargrafodaLista"/>
    <w:uiPriority w:val="34"/>
    <w:qFormat/>
    <w:rsid w:val="00d12cd2"/>
    <w:rPr>
      <w:rFonts w:eastAsia="Times New Roman"/>
      <w:lang w:eastAsia="pt-BR"/>
    </w:rPr>
  </w:style>
  <w:style w:type="character" w:styleId="CitaoChar" w:customStyle="1">
    <w:name w:val="Citação Char"/>
    <w:basedOn w:val="DefaultParagraphFont"/>
    <w:link w:val="Citao"/>
    <w:uiPriority w:val="29"/>
    <w:qFormat/>
    <w:rsid w:val="00fa07e7"/>
    <w:rPr>
      <w:rFonts w:ascii="Arial" w:hAnsi="Arial" w:eastAsia="Calibri"/>
      <w:i/>
      <w:iCs/>
      <w:color w:val="000000"/>
      <w:sz w:val="20"/>
      <w:szCs w:val="24"/>
      <w:shd w:fill="FFFFCC" w:val="clear"/>
    </w:rPr>
  </w:style>
  <w:style w:type="character" w:styleId="TextodecomentrioChar" w:customStyle="1">
    <w:name w:val="Texto de comentário Char"/>
    <w:basedOn w:val="DefaultParagraphFont"/>
    <w:link w:val="Textodecomentrio"/>
    <w:qFormat/>
    <w:rsid w:val="00195adb"/>
    <w:rPr>
      <w:rFonts w:ascii="Arial" w:hAnsi="Arial" w:eastAsia="Times New Roman" w:cs="Tahoma"/>
      <w:sz w:val="20"/>
      <w:szCs w:val="20"/>
      <w:lang w:eastAsia="pt-BR"/>
    </w:rPr>
  </w:style>
  <w:style w:type="character" w:styleId="Annotationreference">
    <w:name w:val="annotation reference"/>
    <w:basedOn w:val="DefaultParagraphFont"/>
    <w:semiHidden/>
    <w:unhideWhenUsed/>
    <w:qFormat/>
    <w:rsid w:val="00195adb"/>
    <w:rPr>
      <w:sz w:val="16"/>
      <w:szCs w:val="16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ivel1" w:customStyle="1">
    <w:name w:val="Nivel1"/>
    <w:basedOn w:val="Ttulo1"/>
    <w:qFormat/>
    <w:rsid w:val="00477f06"/>
    <w:pPr>
      <w:shd w:val="clear" w:color="auto" w:fill="auto"/>
      <w:spacing w:lineRule="auto" w:line="276" w:before="480" w:after="120"/>
    </w:pPr>
    <w:rPr>
      <w:rFonts w:ascii="Arial" w:hAnsi="Arial" w:cs="Times New Roman"/>
      <w:bCs w:val="false"/>
      <w:color w:val="000000"/>
      <w:sz w:val="20"/>
      <w:szCs w:val="20"/>
    </w:rPr>
  </w:style>
  <w:style w:type="paragraph" w:styleId="ListParagraph">
    <w:name w:val="List Paragraph"/>
    <w:basedOn w:val="Normal"/>
    <w:link w:val="PargrafodaListaChar"/>
    <w:uiPriority w:val="34"/>
    <w:qFormat/>
    <w:rsid w:val="00d12cd2"/>
    <w:pPr>
      <w:spacing w:before="0" w:after="0"/>
      <w:ind w:left="720" w:hanging="357"/>
      <w:contextualSpacing/>
    </w:pPr>
    <w:rPr>
      <w:rFonts w:eastAsia="Times New Roman"/>
      <w:lang w:eastAsia="pt-BR"/>
    </w:rPr>
  </w:style>
  <w:style w:type="paragraph" w:styleId="Quote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lineRule="auto" w:line="240" w:before="120" w:after="0"/>
    </w:pPr>
    <w:rPr>
      <w:rFonts w:ascii="Arial" w:hAnsi="Arial" w:eastAsia="Calibri"/>
      <w:i/>
      <w:iCs/>
      <w:color w:val="000000"/>
      <w:sz w:val="20"/>
      <w:szCs w:val="24"/>
    </w:rPr>
  </w:style>
  <w:style w:type="paragraph" w:styleId="Annotationtext">
    <w:name w:val="annotation text"/>
    <w:basedOn w:val="Normal"/>
    <w:link w:val="TextodecomentrioChar"/>
    <w:unhideWhenUsed/>
    <w:qFormat/>
    <w:rsid w:val="00195adb"/>
    <w:pPr>
      <w:spacing w:lineRule="auto" w:line="240"/>
      <w:jc w:val="left"/>
    </w:pPr>
    <w:rPr>
      <w:rFonts w:ascii="Arial" w:hAnsi="Arial" w:eastAsia="Times New Roman" w:cs="Tahoma"/>
      <w:sz w:val="20"/>
      <w:szCs w:val="20"/>
      <w:lang w:eastAsia="pt-BR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195adb"/>
    <w:pPr>
      <w:spacing w:lineRule="auto" w:line="24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f0276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55ACE-D26A-4EAC-92F6-9A66282AC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Application>LibreOffice/7.1.3.2$Windows_X86_64 LibreOffice_project/47f78053abe362b9384784d31a6e56f8511eb1c1</Application>
  <AppVersion>15.0000</AppVersion>
  <DocSecurity>0</DocSecurity>
  <Pages>1</Pages>
  <Words>442</Words>
  <Characters>2546</Characters>
  <CharactersWithSpaces>2961</CharactersWithSpaces>
  <Paragraphs>30</Paragraphs>
  <Company>HEMOBRAS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2019-08-08T12:12:00Z</dcterms:created>
  <dc:creator>Mirella Muzzi de Lima</dc:creator>
  <dc:description/>
  <dc:language>pt-BR</dc:language>
  <cp:lastModifiedBy/>
  <cp:lastPrinted>2018-11-21T13:29:00Z</cp:lastPrinted>
  <dcterms:modified xsi:type="dcterms:W3CDTF">2021-07-13T15:21:50Z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