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91345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91345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91345F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6311C6" w:rsidRPr="0091345F">
              <w:rPr>
                <w:rFonts w:eastAsia="Calibri"/>
                <w:color w:val="000000" w:themeColor="text1"/>
                <w:sz w:val="18"/>
                <w:szCs w:val="18"/>
              </w:rPr>
              <w:t>V</w:t>
            </w:r>
            <w:r w:rsidRPr="0091345F">
              <w:rPr>
                <w:color w:val="000000" w:themeColor="text1"/>
                <w:sz w:val="18"/>
                <w:szCs w:val="18"/>
              </w:rPr>
              <w:t xml:space="preserve"> do Termo </w:t>
            </w:r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91345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6311C6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311C6">
              <w:rPr>
                <w:b/>
                <w:color w:val="000000" w:themeColor="text1"/>
                <w:sz w:val="18"/>
                <w:szCs w:val="18"/>
              </w:rPr>
              <w:t>REGRA DE PREFERÊNCIA DECRETO 7.174/2010</w:t>
            </w:r>
          </w:p>
          <w:p w:rsidR="006455E2" w:rsidRPr="006311C6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6311C6">
              <w:rPr>
                <w:color w:val="000000" w:themeColor="text1"/>
                <w:sz w:val="18"/>
                <w:szCs w:val="18"/>
              </w:rPr>
              <w:t>(Licitantes que declararem no sistema, quando do cadastramento de suas propostas, que atendam aos requisitos estabelecidos no art. 5° do Decreto 7174/2010)</w:t>
            </w:r>
          </w:p>
        </w:tc>
      </w:tr>
      <w:tr w:rsidR="006455E2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6311C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6311C6">
              <w:rPr>
                <w:bCs/>
                <w:color w:val="000000" w:themeColor="text1"/>
                <w:sz w:val="18"/>
                <w:szCs w:val="18"/>
              </w:rPr>
              <w:t>Certificado(s) comprobatório(s) do atendimento da habilitação para usufruir o benefício da preferência na contratação, para qual se declarou apta, estabelecido no art. 5° do Decreto n° 7.174/2010</w:t>
            </w:r>
          </w:p>
        </w:tc>
        <w:tc>
          <w:tcPr>
            <w:tcW w:w="654" w:type="dxa"/>
            <w:vAlign w:val="center"/>
          </w:tcPr>
          <w:p w:rsidR="006455E2" w:rsidRPr="006311C6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:rsidTr="0091345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1345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91345F" w:rsidRDefault="0091345F" w:rsidP="0091345F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91345F">
              <w:rPr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>ndo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experiência na execução de serviços de implantação, suporte e manutenção do software ofertado com os requisitos do e-ARQ BRASIL, durante pelos menos 12 meses de experiência, estando esse prazo compreendido em uma única contratação;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91345F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91345F" w:rsidRPr="0091345F" w:rsidRDefault="0091345F" w:rsidP="0091345F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91345F">
              <w:rPr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prestação de Serviços em Gestão Documental que oferta requisitos do e-ARQ BRASIL, durante pelos menos 12 meses de experiência, estando esse prazo compreendido em uma única contratação (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>Elaboração de Instrumentos Arquivísticos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e 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>Organização de documentos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>);</w:t>
            </w:r>
          </w:p>
        </w:tc>
        <w:tc>
          <w:tcPr>
            <w:tcW w:w="654" w:type="dxa"/>
            <w:vAlign w:val="center"/>
          </w:tcPr>
          <w:p w:rsidR="0091345F" w:rsidRDefault="0091345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11101" w:rsidTr="0091345F">
        <w:trPr>
          <w:trHeight w:val="454"/>
        </w:trPr>
        <w:tc>
          <w:tcPr>
            <w:tcW w:w="10227" w:type="dxa"/>
            <w:gridSpan w:val="3"/>
            <w:vAlign w:val="center"/>
          </w:tcPr>
          <w:p w:rsidR="00311101" w:rsidRPr="0091345F" w:rsidRDefault="00311101" w:rsidP="0091345F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91345F">
              <w:rPr>
                <w:bCs/>
                <w:color w:val="000000" w:themeColor="text1"/>
                <w:sz w:val="18"/>
                <w:szCs w:val="18"/>
                <w:u w:val="single"/>
              </w:rPr>
              <w:t>Declaração</w:t>
            </w:r>
            <w:r w:rsidRPr="0091345F">
              <w:rPr>
                <w:bCs/>
                <w:color w:val="000000" w:themeColor="text1"/>
                <w:sz w:val="18"/>
                <w:szCs w:val="18"/>
              </w:rPr>
              <w:t xml:space="preserve"> de não ocorrência de registro de oportunidade</w:t>
            </w:r>
            <w:r w:rsidR="0091345F" w:rsidRPr="0091345F">
              <w:rPr>
                <w:bCs/>
                <w:color w:val="000000" w:themeColor="text1"/>
                <w:sz w:val="18"/>
                <w:szCs w:val="18"/>
              </w:rPr>
              <w:t xml:space="preserve"> – Anexo VIII do Termo de Referência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:rsidR="00311101" w:rsidRDefault="0031110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45BA2"/>
    <w:multiLevelType w:val="multilevel"/>
    <w:tmpl w:val="7106607A"/>
    <w:lvl w:ilvl="0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99" w:hanging="425"/>
      </w:pPr>
      <w:rPr>
        <w:rFonts w:ascii="Times New Roman" w:eastAsia="Times New Roman" w:hAnsi="Times New Roman" w:cs="Times New Roman" w:hint="default"/>
        <w:b w:val="0"/>
        <w:spacing w:val="0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47" w:hanging="50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861" w:hanging="648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551" w:hanging="908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pt-PT" w:eastAsia="en-US" w:bidi="ar-SA"/>
      </w:rPr>
    </w:lvl>
    <w:lvl w:ilvl="5">
      <w:start w:val="1"/>
      <w:numFmt w:val="decimal"/>
      <w:lvlText w:val="%1.%2.%3.%4.%5.%6."/>
      <w:lvlJc w:val="left"/>
      <w:pPr>
        <w:ind w:left="2985" w:hanging="1052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pt-PT" w:eastAsia="en-US" w:bidi="ar-SA"/>
      </w:rPr>
    </w:lvl>
    <w:lvl w:ilvl="6">
      <w:numFmt w:val="bullet"/>
      <w:lvlText w:val="•"/>
      <w:lvlJc w:val="left"/>
      <w:pPr>
        <w:ind w:left="1040" w:hanging="10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120" w:hanging="10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140" w:hanging="105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311101"/>
    <w:rsid w:val="006311C6"/>
    <w:rsid w:val="006455E2"/>
    <w:rsid w:val="008A6A22"/>
    <w:rsid w:val="0091345F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3764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C903F-B121-4C24-BBBA-05D41125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416</Words>
  <Characters>2251</Characters>
  <Application>Microsoft Office Word</Application>
  <DocSecurity>0</DocSecurity>
  <Lines>18</Lines>
  <Paragraphs>5</Paragraphs>
  <ScaleCrop>false</ScaleCrop>
  <Company>HEMOBRAS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24</cp:revision>
  <cp:lastPrinted>2018-11-21T13:29:00Z</cp:lastPrinted>
  <dcterms:created xsi:type="dcterms:W3CDTF">2019-08-08T12:12:00Z</dcterms:created>
  <dcterms:modified xsi:type="dcterms:W3CDTF">2023-05-03T13:49:00Z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