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6AF07" w14:textId="66189EF6" w:rsidR="001B1795" w:rsidRPr="001B1795" w:rsidRDefault="001B1795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1B1795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7C0D976A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266632F6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1B1795">
        <w:rPr>
          <w:rFonts w:ascii="Times New Roman" w:hAnsi="Times New Roman" w:cs="Times New Roman"/>
          <w:sz w:val="22"/>
          <w:szCs w:val="22"/>
        </w:rPr>
        <w:t>001814</w:t>
      </w:r>
      <w:r w:rsidRPr="00795B77">
        <w:rPr>
          <w:rFonts w:ascii="Times New Roman" w:hAnsi="Times New Roman" w:cs="Times New Roman"/>
          <w:sz w:val="22"/>
          <w:szCs w:val="22"/>
        </w:rPr>
        <w:t>/20</w:t>
      </w:r>
      <w:r w:rsidR="001B1795">
        <w:rPr>
          <w:rFonts w:ascii="Times New Roman" w:hAnsi="Times New Roman" w:cs="Times New Roman"/>
          <w:sz w:val="22"/>
          <w:szCs w:val="22"/>
        </w:rPr>
        <w:t>22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27235126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>alterado na 1ª Assembleia Geral Ordinária/1ª Assembleia Geral Extraordinária de 18 de abril de 2022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1CF6BC20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1B1795">
        <w:rPr>
          <w:rFonts w:ascii="Times New Roman" w:hAnsi="Times New Roman" w:cs="Times New Roman"/>
          <w:sz w:val="22"/>
          <w:szCs w:val="22"/>
        </w:rPr>
        <w:t>001814/2022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bCs/>
          <w:sz w:val="22"/>
          <w:szCs w:val="22"/>
        </w:rPr>
        <w:t>,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>Licitação, e na proposta da CONTRATADA, 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47DC5035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4E4477EE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objeto do pre</w:t>
      </w:r>
      <w:r w:rsidRPr="00AC190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sente </w:t>
      </w:r>
      <w:r w:rsidR="00A40017" w:rsidRPr="00AC190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instrumento </w:t>
      </w:r>
      <w:r w:rsidRPr="00AC190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é a </w:t>
      </w:r>
      <w:r w:rsidR="002C6DD2" w:rsidRPr="00AC190A">
        <w:rPr>
          <w:rFonts w:ascii="Times New Roman" w:hAnsi="Times New Roman" w:cs="Times New Roman"/>
          <w:color w:val="000000" w:themeColor="text1"/>
          <w:sz w:val="22"/>
          <w:szCs w:val="22"/>
        </w:rPr>
        <w:t>contratação de</w:t>
      </w:r>
      <w:r w:rsidR="00EF2567" w:rsidRPr="00AC190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serviços de</w:t>
      </w:r>
      <w:r w:rsidRPr="00AC190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B1795" w:rsidRPr="00AC190A">
        <w:rPr>
          <w:rFonts w:ascii="Times New Roman" w:hAnsi="Times New Roman" w:cs="Times New Roman"/>
          <w:color w:val="000000" w:themeColor="text1"/>
          <w:sz w:val="22"/>
          <w:szCs w:val="22"/>
        </w:rPr>
        <w:t>serviços de implantação de sistema Informatizado de Gestão Arquivística de Documentos (SIGAD) que atendam ao documento Modelo de Requisitos para Sistemas Informatizados de Gestão Arquivística de Documentos - e-ARQ Brasil, 2ª versão, publicada em maio de 2022 e demais funcionalidades identificadas pela empresa</w:t>
      </w:r>
      <w:r w:rsidR="00B01E82" w:rsidRPr="00AC190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que </w:t>
      </w:r>
      <w:r w:rsidR="00B01E82" w:rsidRPr="003F29C4">
        <w:rPr>
          <w:rFonts w:ascii="Times New Roman" w:hAnsi="Times New Roman" w:cs="Times New Roman"/>
          <w:sz w:val="22"/>
          <w:szCs w:val="22"/>
        </w:rPr>
        <w:t>serão prestados nas condições estabelecidas no Termo de Referência, anexo do Edital.</w:t>
      </w:r>
    </w:p>
    <w:p w14:paraId="0328D7C2" w14:textId="39490B2F" w:rsidR="0070059F" w:rsidRPr="00AC190A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</w:t>
      </w:r>
      <w:r w:rsidRPr="00AC190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Termo de Contrato vincula-se ao </w:t>
      </w:r>
      <w:r w:rsidR="00B01E82" w:rsidRPr="00AC190A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AC190A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AC190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AC190A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00DFDEF0" w:rsidR="000575AE" w:rsidRPr="00AC190A" w:rsidRDefault="00424D7A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C190A">
        <w:rPr>
          <w:rFonts w:ascii="Times New Roman" w:hAnsi="Times New Roman" w:cs="Times New Roman"/>
          <w:color w:val="000000" w:themeColor="text1"/>
          <w:sz w:val="22"/>
          <w:szCs w:val="22"/>
        </w:rPr>
        <w:t>Detalhamento do Objeto</w:t>
      </w:r>
      <w:r w:rsidR="00061023" w:rsidRPr="00AC190A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Style w:val="TableNormal"/>
        <w:tblW w:w="9647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1007"/>
        <w:gridCol w:w="2268"/>
        <w:gridCol w:w="1701"/>
        <w:gridCol w:w="1272"/>
        <w:gridCol w:w="1276"/>
        <w:gridCol w:w="1134"/>
      </w:tblGrid>
      <w:tr w:rsidR="001B1795" w14:paraId="5A531F74" w14:textId="77777777" w:rsidTr="001B1795">
        <w:trPr>
          <w:trHeight w:val="297"/>
        </w:trPr>
        <w:tc>
          <w:tcPr>
            <w:tcW w:w="989" w:type="dxa"/>
            <w:vMerge w:val="restart"/>
            <w:shd w:val="clear" w:color="auto" w:fill="BEBEBE"/>
            <w:vAlign w:val="center"/>
          </w:tcPr>
          <w:p w14:paraId="4793E4A0" w14:textId="77777777" w:rsidR="001B1795" w:rsidRDefault="001B1795" w:rsidP="001B17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1007" w:type="dxa"/>
            <w:vMerge w:val="restart"/>
            <w:shd w:val="clear" w:color="auto" w:fill="BEBEBE"/>
            <w:vAlign w:val="center"/>
          </w:tcPr>
          <w:p w14:paraId="5F9312DA" w14:textId="463BA4A4" w:rsidR="001B1795" w:rsidRPr="001B1795" w:rsidRDefault="001B1795" w:rsidP="001B1795">
            <w:pPr>
              <w:pStyle w:val="TableParagraph"/>
              <w:ind w:left="16"/>
              <w:jc w:val="center"/>
              <w:rPr>
                <w:b/>
                <w:sz w:val="20"/>
              </w:rPr>
            </w:pPr>
            <w:r w:rsidRPr="001B1795">
              <w:rPr>
                <w:b/>
                <w:sz w:val="20"/>
              </w:rPr>
              <w:t>SUBITEM</w:t>
            </w:r>
          </w:p>
        </w:tc>
        <w:tc>
          <w:tcPr>
            <w:tcW w:w="2268" w:type="dxa"/>
            <w:vMerge w:val="restart"/>
            <w:shd w:val="clear" w:color="auto" w:fill="BEBEBE"/>
            <w:vAlign w:val="center"/>
          </w:tcPr>
          <w:p w14:paraId="6E30F692" w14:textId="77777777" w:rsidR="001B1795" w:rsidRDefault="001B1795" w:rsidP="001B17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OBJETO</w:t>
            </w:r>
          </w:p>
        </w:tc>
        <w:tc>
          <w:tcPr>
            <w:tcW w:w="1701" w:type="dxa"/>
            <w:vMerge w:val="restart"/>
            <w:shd w:val="clear" w:color="auto" w:fill="BEBEBE"/>
            <w:vAlign w:val="center"/>
          </w:tcPr>
          <w:p w14:paraId="57344AE9" w14:textId="77777777" w:rsidR="001B1795" w:rsidRDefault="001B1795" w:rsidP="001B1795">
            <w:pPr>
              <w:pStyle w:val="TableParagraph"/>
              <w:ind w:lef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QUANTIDADE</w:t>
            </w:r>
          </w:p>
        </w:tc>
        <w:tc>
          <w:tcPr>
            <w:tcW w:w="3682" w:type="dxa"/>
            <w:gridSpan w:val="3"/>
            <w:shd w:val="clear" w:color="auto" w:fill="BEBEBE"/>
            <w:vAlign w:val="center"/>
          </w:tcPr>
          <w:p w14:paraId="0C2AA045" w14:textId="77777777" w:rsidR="001B1795" w:rsidRDefault="001B1795" w:rsidP="001B1795">
            <w:pPr>
              <w:pStyle w:val="TableParagraph"/>
              <w:spacing w:before="17"/>
              <w:ind w:right="1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PREÇO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1B1795" w14:paraId="10539731" w14:textId="77777777" w:rsidTr="001B1795">
        <w:trPr>
          <w:trHeight w:val="417"/>
        </w:trPr>
        <w:tc>
          <w:tcPr>
            <w:tcW w:w="989" w:type="dxa"/>
            <w:vMerge/>
            <w:tcBorders>
              <w:top w:val="nil"/>
            </w:tcBorders>
            <w:shd w:val="clear" w:color="auto" w:fill="BEBEBE"/>
          </w:tcPr>
          <w:p w14:paraId="41EA7B4F" w14:textId="77777777" w:rsidR="001B1795" w:rsidRDefault="001B1795" w:rsidP="002D3222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shd w:val="clear" w:color="auto" w:fill="BEBEBE"/>
          </w:tcPr>
          <w:p w14:paraId="4DDB671B" w14:textId="77777777" w:rsidR="001B1795" w:rsidRDefault="001B1795" w:rsidP="002D3222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shd w:val="clear" w:color="auto" w:fill="BEBEBE"/>
          </w:tcPr>
          <w:p w14:paraId="5B895B31" w14:textId="28472ECE" w:rsidR="001B1795" w:rsidRDefault="001B1795" w:rsidP="002D3222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BEBEBE"/>
          </w:tcPr>
          <w:p w14:paraId="3F7C4A4E" w14:textId="77777777" w:rsidR="001B1795" w:rsidRDefault="001B1795" w:rsidP="002D3222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shd w:val="clear" w:color="auto" w:fill="BEBEBE"/>
            <w:vAlign w:val="center"/>
          </w:tcPr>
          <w:p w14:paraId="1E3B7492" w14:textId="77777777" w:rsidR="001B1795" w:rsidRDefault="001B1795" w:rsidP="001B1795">
            <w:pPr>
              <w:pStyle w:val="TableParagraph"/>
              <w:spacing w:before="77"/>
              <w:ind w:left="-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UNITÁRIO</w:t>
            </w:r>
          </w:p>
        </w:tc>
        <w:tc>
          <w:tcPr>
            <w:tcW w:w="1276" w:type="dxa"/>
            <w:shd w:val="clear" w:color="auto" w:fill="BEBEBE"/>
            <w:vAlign w:val="center"/>
          </w:tcPr>
          <w:p w14:paraId="69F3BD88" w14:textId="77777777" w:rsidR="001B1795" w:rsidRDefault="001B1795" w:rsidP="001B1795">
            <w:pPr>
              <w:pStyle w:val="TableParagraph"/>
              <w:spacing w:before="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MENSAL</w:t>
            </w:r>
          </w:p>
        </w:tc>
        <w:tc>
          <w:tcPr>
            <w:tcW w:w="1134" w:type="dxa"/>
            <w:shd w:val="clear" w:color="auto" w:fill="BEBEBE"/>
            <w:vAlign w:val="center"/>
          </w:tcPr>
          <w:p w14:paraId="46BB08F6" w14:textId="77777777" w:rsidR="001B1795" w:rsidRDefault="001B1795" w:rsidP="001B1795">
            <w:pPr>
              <w:pStyle w:val="TableParagraph"/>
              <w:spacing w:befor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</w:tr>
      <w:tr w:rsidR="001B1795" w14:paraId="675C1633" w14:textId="77777777" w:rsidTr="001B1795">
        <w:trPr>
          <w:trHeight w:val="527"/>
        </w:trPr>
        <w:tc>
          <w:tcPr>
            <w:tcW w:w="989" w:type="dxa"/>
            <w:vMerge w:val="restart"/>
            <w:vAlign w:val="center"/>
          </w:tcPr>
          <w:p w14:paraId="71DBF3C3" w14:textId="5F3C8978" w:rsidR="001B1795" w:rsidRDefault="001B1795" w:rsidP="001B1795">
            <w:pPr>
              <w:pStyle w:val="TableParagraph"/>
              <w:ind w:left="79" w:right="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007" w:type="dxa"/>
            <w:vAlign w:val="center"/>
          </w:tcPr>
          <w:p w14:paraId="6A1F64BF" w14:textId="3005C75F" w:rsidR="001B1795" w:rsidRPr="00AC190A" w:rsidRDefault="001B1795" w:rsidP="00AC190A">
            <w:pPr>
              <w:pStyle w:val="TableParagraph"/>
              <w:ind w:left="79" w:right="74"/>
              <w:jc w:val="center"/>
              <w:rPr>
                <w:b/>
                <w:sz w:val="20"/>
              </w:rPr>
            </w:pPr>
            <w:r w:rsidRPr="00AC190A">
              <w:rPr>
                <w:b/>
                <w:sz w:val="20"/>
              </w:rPr>
              <w:t>1</w:t>
            </w:r>
          </w:p>
        </w:tc>
        <w:tc>
          <w:tcPr>
            <w:tcW w:w="2268" w:type="dxa"/>
          </w:tcPr>
          <w:p w14:paraId="1E236C30" w14:textId="750F6194" w:rsidR="001B1795" w:rsidRDefault="001B1795" w:rsidP="002D322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Instalação,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implantação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validação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4FFA3A17" w14:textId="77777777" w:rsidR="001B1795" w:rsidRDefault="001B1795" w:rsidP="002D3222">
            <w:pPr>
              <w:pStyle w:val="TableParagraph"/>
              <w:spacing w:before="34"/>
              <w:ind w:left="69"/>
              <w:rPr>
                <w:sz w:val="20"/>
              </w:rPr>
            </w:pPr>
            <w:r>
              <w:rPr>
                <w:sz w:val="20"/>
              </w:rPr>
              <w:t>software</w:t>
            </w:r>
          </w:p>
        </w:tc>
        <w:tc>
          <w:tcPr>
            <w:tcW w:w="1701" w:type="dxa"/>
          </w:tcPr>
          <w:p w14:paraId="4D93573A" w14:textId="77777777" w:rsidR="001B1795" w:rsidRDefault="001B1795" w:rsidP="002D3222">
            <w:pPr>
              <w:pStyle w:val="TableParagraph"/>
              <w:spacing w:before="132"/>
              <w:ind w:left="164" w:right="16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UNIDADE</w:t>
            </w:r>
          </w:p>
        </w:tc>
        <w:tc>
          <w:tcPr>
            <w:tcW w:w="1272" w:type="dxa"/>
          </w:tcPr>
          <w:p w14:paraId="288621DD" w14:textId="77777777" w:rsidR="001B1795" w:rsidRDefault="001B1795" w:rsidP="002D3222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14:paraId="3CCDF44D" w14:textId="77777777" w:rsidR="001B1795" w:rsidRDefault="001B1795" w:rsidP="002D3222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14:paraId="4421FFB8" w14:textId="77777777" w:rsidR="001B1795" w:rsidRDefault="001B1795" w:rsidP="002D3222">
            <w:pPr>
              <w:pStyle w:val="TableParagraph"/>
              <w:rPr>
                <w:sz w:val="18"/>
              </w:rPr>
            </w:pPr>
          </w:p>
        </w:tc>
      </w:tr>
      <w:tr w:rsidR="001B1795" w14:paraId="1E285314" w14:textId="77777777" w:rsidTr="001B1795">
        <w:trPr>
          <w:trHeight w:val="266"/>
        </w:trPr>
        <w:tc>
          <w:tcPr>
            <w:tcW w:w="989" w:type="dxa"/>
            <w:vMerge/>
            <w:vAlign w:val="center"/>
          </w:tcPr>
          <w:p w14:paraId="52CC92FE" w14:textId="791ADAD5" w:rsidR="001B1795" w:rsidRDefault="001B1795" w:rsidP="001B1795">
            <w:pPr>
              <w:pStyle w:val="TableParagraph"/>
              <w:ind w:left="79" w:right="74"/>
              <w:jc w:val="center"/>
              <w:rPr>
                <w:b/>
                <w:sz w:val="20"/>
              </w:rPr>
            </w:pPr>
          </w:p>
        </w:tc>
        <w:tc>
          <w:tcPr>
            <w:tcW w:w="1007" w:type="dxa"/>
            <w:vAlign w:val="center"/>
          </w:tcPr>
          <w:p w14:paraId="40AC4CAB" w14:textId="68BE5609" w:rsidR="001B1795" w:rsidRPr="00AC190A" w:rsidRDefault="001B1795" w:rsidP="00AC190A">
            <w:pPr>
              <w:pStyle w:val="TableParagraph"/>
              <w:ind w:left="79" w:right="74"/>
              <w:jc w:val="center"/>
              <w:rPr>
                <w:b/>
                <w:sz w:val="20"/>
              </w:rPr>
            </w:pPr>
            <w:r w:rsidRPr="00AC190A">
              <w:rPr>
                <w:b/>
                <w:sz w:val="20"/>
              </w:rPr>
              <w:t>2</w:t>
            </w:r>
          </w:p>
        </w:tc>
        <w:tc>
          <w:tcPr>
            <w:tcW w:w="2268" w:type="dxa"/>
          </w:tcPr>
          <w:p w14:paraId="0D300CC4" w14:textId="5168E880" w:rsidR="001B1795" w:rsidRDefault="001B1795" w:rsidP="002D3222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Licença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software</w:t>
            </w:r>
          </w:p>
        </w:tc>
        <w:tc>
          <w:tcPr>
            <w:tcW w:w="1701" w:type="dxa"/>
          </w:tcPr>
          <w:p w14:paraId="076683AA" w14:textId="77777777" w:rsidR="001B1795" w:rsidRDefault="001B1795" w:rsidP="002D3222">
            <w:pPr>
              <w:pStyle w:val="TableParagraph"/>
              <w:spacing w:before="2"/>
              <w:ind w:left="164" w:right="163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LICENÇAS</w:t>
            </w:r>
          </w:p>
        </w:tc>
        <w:tc>
          <w:tcPr>
            <w:tcW w:w="1272" w:type="dxa"/>
          </w:tcPr>
          <w:p w14:paraId="02D5B6AD" w14:textId="77777777" w:rsidR="001B1795" w:rsidRDefault="001B1795" w:rsidP="002D3222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14:paraId="5BCDBAE0" w14:textId="77777777" w:rsidR="001B1795" w:rsidRDefault="001B1795" w:rsidP="002D3222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14:paraId="7E870DC6" w14:textId="77777777" w:rsidR="001B1795" w:rsidRDefault="001B1795" w:rsidP="002D3222">
            <w:pPr>
              <w:pStyle w:val="TableParagraph"/>
              <w:rPr>
                <w:sz w:val="18"/>
              </w:rPr>
            </w:pPr>
          </w:p>
        </w:tc>
      </w:tr>
      <w:tr w:rsidR="001B1795" w14:paraId="19DDAD0A" w14:textId="77777777" w:rsidTr="001B1795">
        <w:trPr>
          <w:trHeight w:val="263"/>
        </w:trPr>
        <w:tc>
          <w:tcPr>
            <w:tcW w:w="989" w:type="dxa"/>
            <w:vMerge/>
            <w:vAlign w:val="center"/>
          </w:tcPr>
          <w:p w14:paraId="0C07DA58" w14:textId="5FA48AAB" w:rsidR="001B1795" w:rsidRDefault="001B1795" w:rsidP="001B1795">
            <w:pPr>
              <w:pStyle w:val="TableParagraph"/>
              <w:ind w:left="79" w:right="74"/>
              <w:jc w:val="center"/>
              <w:rPr>
                <w:b/>
                <w:sz w:val="20"/>
              </w:rPr>
            </w:pPr>
          </w:p>
        </w:tc>
        <w:tc>
          <w:tcPr>
            <w:tcW w:w="1007" w:type="dxa"/>
            <w:vAlign w:val="center"/>
          </w:tcPr>
          <w:p w14:paraId="5CDE978A" w14:textId="68F77EE5" w:rsidR="001B1795" w:rsidRPr="00AC190A" w:rsidRDefault="001B1795" w:rsidP="00AC190A">
            <w:pPr>
              <w:pStyle w:val="TableParagraph"/>
              <w:ind w:left="79" w:right="74"/>
              <w:jc w:val="center"/>
              <w:rPr>
                <w:b/>
                <w:sz w:val="20"/>
              </w:rPr>
            </w:pPr>
            <w:r w:rsidRPr="00AC190A">
              <w:rPr>
                <w:b/>
                <w:sz w:val="20"/>
              </w:rPr>
              <w:t>3</w:t>
            </w:r>
          </w:p>
        </w:tc>
        <w:tc>
          <w:tcPr>
            <w:tcW w:w="2268" w:type="dxa"/>
          </w:tcPr>
          <w:p w14:paraId="24501EAA" w14:textId="2D06119E" w:rsidR="001B1795" w:rsidRDefault="001B1795" w:rsidP="002D322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Treinamento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usuários</w:t>
            </w:r>
          </w:p>
        </w:tc>
        <w:tc>
          <w:tcPr>
            <w:tcW w:w="1701" w:type="dxa"/>
          </w:tcPr>
          <w:p w14:paraId="30B5182E" w14:textId="02BEB103" w:rsidR="001B1795" w:rsidRPr="00805DE1" w:rsidRDefault="001B1795" w:rsidP="002D3222">
            <w:pPr>
              <w:pStyle w:val="TableParagraph"/>
              <w:ind w:left="164" w:right="161"/>
              <w:jc w:val="center"/>
              <w:rPr>
                <w:color w:val="000000" w:themeColor="text1"/>
                <w:sz w:val="20"/>
              </w:rPr>
            </w:pPr>
            <w:r w:rsidRPr="00805DE1">
              <w:rPr>
                <w:color w:val="000000" w:themeColor="text1"/>
                <w:sz w:val="20"/>
              </w:rPr>
              <w:t>2</w:t>
            </w:r>
            <w:r w:rsidRPr="00805DE1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805DE1">
              <w:rPr>
                <w:color w:val="000000" w:themeColor="text1"/>
                <w:sz w:val="20"/>
              </w:rPr>
              <w:t>UNIDADE</w:t>
            </w:r>
            <w:r w:rsidR="00AC190A" w:rsidRPr="00805DE1">
              <w:rPr>
                <w:color w:val="000000" w:themeColor="text1"/>
                <w:sz w:val="20"/>
              </w:rPr>
              <w:t>S</w:t>
            </w:r>
          </w:p>
        </w:tc>
        <w:tc>
          <w:tcPr>
            <w:tcW w:w="1272" w:type="dxa"/>
          </w:tcPr>
          <w:p w14:paraId="2E6D6DEF" w14:textId="77777777" w:rsidR="001B1795" w:rsidRDefault="001B1795" w:rsidP="002D3222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14:paraId="371F3FC5" w14:textId="77777777" w:rsidR="001B1795" w:rsidRDefault="001B1795" w:rsidP="002D3222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14:paraId="44DE2928" w14:textId="77777777" w:rsidR="001B1795" w:rsidRDefault="001B1795" w:rsidP="002D3222">
            <w:pPr>
              <w:pStyle w:val="TableParagraph"/>
              <w:rPr>
                <w:sz w:val="18"/>
              </w:rPr>
            </w:pPr>
          </w:p>
        </w:tc>
      </w:tr>
      <w:tr w:rsidR="001B1795" w14:paraId="61B7C5F6" w14:textId="77777777" w:rsidTr="001B1795">
        <w:trPr>
          <w:trHeight w:val="266"/>
        </w:trPr>
        <w:tc>
          <w:tcPr>
            <w:tcW w:w="989" w:type="dxa"/>
            <w:vMerge/>
            <w:vAlign w:val="center"/>
          </w:tcPr>
          <w:p w14:paraId="68441360" w14:textId="4829FCE3" w:rsidR="001B1795" w:rsidRDefault="001B1795" w:rsidP="001B1795">
            <w:pPr>
              <w:pStyle w:val="TableParagraph"/>
              <w:ind w:left="79" w:right="74"/>
              <w:jc w:val="center"/>
              <w:rPr>
                <w:b/>
                <w:sz w:val="20"/>
              </w:rPr>
            </w:pPr>
          </w:p>
        </w:tc>
        <w:tc>
          <w:tcPr>
            <w:tcW w:w="1007" w:type="dxa"/>
            <w:vAlign w:val="center"/>
          </w:tcPr>
          <w:p w14:paraId="5AEBADA5" w14:textId="79CBF90B" w:rsidR="001B1795" w:rsidRPr="00AC190A" w:rsidRDefault="001B1795" w:rsidP="00AC190A">
            <w:pPr>
              <w:pStyle w:val="TableParagraph"/>
              <w:ind w:left="79" w:right="74"/>
              <w:jc w:val="center"/>
              <w:rPr>
                <w:b/>
                <w:sz w:val="20"/>
              </w:rPr>
            </w:pPr>
            <w:r w:rsidRPr="00AC190A">
              <w:rPr>
                <w:b/>
                <w:sz w:val="20"/>
              </w:rPr>
              <w:t>4</w:t>
            </w:r>
          </w:p>
        </w:tc>
        <w:tc>
          <w:tcPr>
            <w:tcW w:w="2268" w:type="dxa"/>
          </w:tcPr>
          <w:p w14:paraId="16A8334D" w14:textId="62686B5D" w:rsidR="001B1795" w:rsidRDefault="001B1795" w:rsidP="002D322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Serviço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suporte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mensal</w:t>
            </w:r>
          </w:p>
        </w:tc>
        <w:tc>
          <w:tcPr>
            <w:tcW w:w="1701" w:type="dxa"/>
          </w:tcPr>
          <w:p w14:paraId="4DC4DA41" w14:textId="77777777" w:rsidR="001B1795" w:rsidRPr="00805DE1" w:rsidRDefault="001B1795" w:rsidP="002D3222">
            <w:pPr>
              <w:pStyle w:val="TableParagraph"/>
              <w:ind w:left="164" w:right="160"/>
              <w:jc w:val="center"/>
              <w:rPr>
                <w:color w:val="000000" w:themeColor="text1"/>
                <w:sz w:val="20"/>
              </w:rPr>
            </w:pPr>
            <w:r w:rsidRPr="00805DE1">
              <w:rPr>
                <w:color w:val="000000" w:themeColor="text1"/>
                <w:sz w:val="20"/>
              </w:rPr>
              <w:t>26 MESES</w:t>
            </w:r>
          </w:p>
        </w:tc>
        <w:tc>
          <w:tcPr>
            <w:tcW w:w="1272" w:type="dxa"/>
          </w:tcPr>
          <w:p w14:paraId="13F5BBD2" w14:textId="77777777" w:rsidR="001B1795" w:rsidRDefault="001B1795" w:rsidP="002D3222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14:paraId="55331059" w14:textId="77777777" w:rsidR="001B1795" w:rsidRDefault="001B1795" w:rsidP="002D3222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14:paraId="230714DA" w14:textId="77777777" w:rsidR="001B1795" w:rsidRDefault="001B1795" w:rsidP="002D3222">
            <w:pPr>
              <w:pStyle w:val="TableParagraph"/>
              <w:rPr>
                <w:sz w:val="18"/>
              </w:rPr>
            </w:pPr>
          </w:p>
        </w:tc>
      </w:tr>
      <w:tr w:rsidR="001B1795" w14:paraId="61979414" w14:textId="77777777" w:rsidTr="001B1795">
        <w:trPr>
          <w:trHeight w:val="263"/>
        </w:trPr>
        <w:tc>
          <w:tcPr>
            <w:tcW w:w="989" w:type="dxa"/>
            <w:vMerge/>
            <w:vAlign w:val="center"/>
          </w:tcPr>
          <w:p w14:paraId="6232553E" w14:textId="29465EA2" w:rsidR="001B1795" w:rsidRDefault="001B1795" w:rsidP="001B1795">
            <w:pPr>
              <w:pStyle w:val="TableParagraph"/>
              <w:ind w:left="79" w:right="74"/>
              <w:jc w:val="center"/>
              <w:rPr>
                <w:b/>
                <w:sz w:val="20"/>
              </w:rPr>
            </w:pPr>
          </w:p>
        </w:tc>
        <w:tc>
          <w:tcPr>
            <w:tcW w:w="1007" w:type="dxa"/>
            <w:vAlign w:val="center"/>
          </w:tcPr>
          <w:p w14:paraId="0027C92D" w14:textId="211E23BE" w:rsidR="001B1795" w:rsidRPr="00AC190A" w:rsidRDefault="001B1795" w:rsidP="00AC190A">
            <w:pPr>
              <w:pStyle w:val="TableParagraph"/>
              <w:ind w:left="79" w:right="74"/>
              <w:jc w:val="center"/>
              <w:rPr>
                <w:b/>
                <w:sz w:val="20"/>
              </w:rPr>
            </w:pPr>
            <w:r w:rsidRPr="00AC190A">
              <w:rPr>
                <w:b/>
                <w:sz w:val="20"/>
              </w:rPr>
              <w:t>5</w:t>
            </w:r>
          </w:p>
        </w:tc>
        <w:tc>
          <w:tcPr>
            <w:tcW w:w="2268" w:type="dxa"/>
          </w:tcPr>
          <w:p w14:paraId="3FFD146C" w14:textId="1E716B22" w:rsidR="001B1795" w:rsidRDefault="001B1795" w:rsidP="002D3222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Transição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contratual</w:t>
            </w:r>
          </w:p>
        </w:tc>
        <w:tc>
          <w:tcPr>
            <w:tcW w:w="1701" w:type="dxa"/>
          </w:tcPr>
          <w:p w14:paraId="6B055876" w14:textId="77777777" w:rsidR="001B1795" w:rsidRDefault="001B1795" w:rsidP="002D3222">
            <w:pPr>
              <w:pStyle w:val="TableParagraph"/>
              <w:ind w:left="164" w:right="16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UNIDADE</w:t>
            </w:r>
          </w:p>
        </w:tc>
        <w:tc>
          <w:tcPr>
            <w:tcW w:w="1272" w:type="dxa"/>
          </w:tcPr>
          <w:p w14:paraId="471F8FEB" w14:textId="77777777" w:rsidR="001B1795" w:rsidRDefault="001B1795" w:rsidP="002D3222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14:paraId="20E0F753" w14:textId="77777777" w:rsidR="001B1795" w:rsidRDefault="001B1795" w:rsidP="002D3222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14:paraId="717CF388" w14:textId="77777777" w:rsidR="001B1795" w:rsidRDefault="001B1795" w:rsidP="002D3222">
            <w:pPr>
              <w:pStyle w:val="TableParagraph"/>
              <w:rPr>
                <w:sz w:val="18"/>
              </w:rPr>
            </w:pPr>
          </w:p>
        </w:tc>
      </w:tr>
      <w:tr w:rsidR="001B1795" w14:paraId="793339CF" w14:textId="77777777" w:rsidTr="00E86152">
        <w:trPr>
          <w:trHeight w:val="263"/>
        </w:trPr>
        <w:tc>
          <w:tcPr>
            <w:tcW w:w="8513" w:type="dxa"/>
            <w:gridSpan w:val="6"/>
          </w:tcPr>
          <w:p w14:paraId="3DD42CE4" w14:textId="5C4DC03E" w:rsidR="001B1795" w:rsidRPr="001B1795" w:rsidRDefault="001B1795" w:rsidP="00AC190A">
            <w:pPr>
              <w:pStyle w:val="TableParagraph"/>
              <w:jc w:val="center"/>
              <w:rPr>
                <w:sz w:val="20"/>
                <w:szCs w:val="20"/>
              </w:rPr>
            </w:pPr>
            <w:r w:rsidRPr="001B1795">
              <w:rPr>
                <w:sz w:val="20"/>
                <w:szCs w:val="20"/>
              </w:rPr>
              <w:t>VALOR TOTAL</w:t>
            </w:r>
          </w:p>
        </w:tc>
        <w:tc>
          <w:tcPr>
            <w:tcW w:w="1134" w:type="dxa"/>
          </w:tcPr>
          <w:p w14:paraId="0FCAFC06" w14:textId="77777777" w:rsidR="001B1795" w:rsidRDefault="001B1795" w:rsidP="002D3222">
            <w:pPr>
              <w:pStyle w:val="TableParagraph"/>
              <w:rPr>
                <w:sz w:val="18"/>
              </w:rPr>
            </w:pPr>
          </w:p>
        </w:tc>
      </w:tr>
    </w:tbl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2E0EA39A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03E71223" w14:textId="50983ED8" w:rsidR="00EF4D43" w:rsidRPr="00EF4D43" w:rsidRDefault="00EF4D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prazo de vigência do Contrato é </w:t>
      </w:r>
      <w:bookmarkStart w:id="0" w:name="_GoBack"/>
      <w:r w:rsidRPr="00805DE1">
        <w:rPr>
          <w:rFonts w:ascii="Times New Roman" w:hAnsi="Times New Roman" w:cs="Times New Roman"/>
          <w:color w:val="000000" w:themeColor="text1"/>
          <w:sz w:val="22"/>
          <w:szCs w:val="22"/>
        </w:rPr>
        <w:t>de</w:t>
      </w:r>
      <w:r w:rsidR="00107BD4" w:rsidRPr="00805DE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AC190A" w:rsidRPr="00805DE1">
        <w:rPr>
          <w:rFonts w:ascii="Times New Roman" w:hAnsi="Times New Roman" w:cs="Times New Roman"/>
          <w:color w:val="000000" w:themeColor="text1"/>
          <w:sz w:val="22"/>
          <w:szCs w:val="22"/>
        </w:rPr>
        <w:t>30</w:t>
      </w:r>
      <w:r w:rsidR="00107BD4" w:rsidRPr="00805DE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AC190A" w:rsidRPr="00805DE1">
        <w:rPr>
          <w:rFonts w:ascii="Times New Roman" w:hAnsi="Times New Roman" w:cs="Times New Roman"/>
          <w:color w:val="000000" w:themeColor="text1"/>
          <w:sz w:val="22"/>
          <w:szCs w:val="22"/>
        </w:rPr>
        <w:t>trinta</w:t>
      </w:r>
      <w:r w:rsidR="00107BD4" w:rsidRPr="00805DE1">
        <w:rPr>
          <w:rFonts w:ascii="Times New Roman" w:hAnsi="Times New Roman" w:cs="Times New Roman"/>
          <w:color w:val="000000" w:themeColor="text1"/>
          <w:sz w:val="22"/>
          <w:szCs w:val="22"/>
        </w:rPr>
        <w:t>) meses</w:t>
      </w:r>
      <w:r w:rsidRPr="00805DE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contados da data de assinatura do instrumento, podendo ser prorrogado por interesse das partes até o limite </w:t>
      </w:r>
      <w:bookmarkEnd w:id="0"/>
      <w:r w:rsidRPr="00EF4D43">
        <w:rPr>
          <w:rFonts w:ascii="Times New Roman" w:hAnsi="Times New Roman" w:cs="Times New Roman"/>
          <w:sz w:val="22"/>
          <w:szCs w:val="22"/>
        </w:rPr>
        <w:t>de 60 (sessenta) meses, desde que haja autorização formal da autoridade competente e observados os seguintes requisitos:</w:t>
      </w:r>
    </w:p>
    <w:p w14:paraId="32C04404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Esteja formalmente demonstrado que a forma de prestação dos serviços tem natureza continuada;</w:t>
      </w:r>
    </w:p>
    <w:p w14:paraId="14FE1397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juntada justificativa e motivo, por escrito, de que 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Pr="00EF4D43">
        <w:rPr>
          <w:rFonts w:ascii="Times New Roman" w:hAnsi="Times New Roman" w:cs="Times New Roman"/>
          <w:sz w:val="22"/>
          <w:szCs w:val="22"/>
        </w:rPr>
        <w:t xml:space="preserve"> mantém interesse na realização do serviço;</w:t>
      </w:r>
    </w:p>
    <w:p w14:paraId="7201FC83" w14:textId="082226FD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comprovado que o valor do contrato permanece economicamente vantajoso para a </w:t>
      </w:r>
      <w:r w:rsidR="00C35976">
        <w:rPr>
          <w:rFonts w:ascii="Times New Roman" w:hAnsi="Times New Roman" w:cs="Times New Roman"/>
          <w:sz w:val="22"/>
          <w:szCs w:val="22"/>
        </w:rPr>
        <w:t>Hemob</w:t>
      </w:r>
      <w:r w:rsidR="00C55C28">
        <w:rPr>
          <w:rFonts w:ascii="Times New Roman" w:hAnsi="Times New Roman" w:cs="Times New Roman"/>
          <w:sz w:val="22"/>
          <w:szCs w:val="22"/>
        </w:rPr>
        <w:t>rá</w:t>
      </w:r>
      <w:r w:rsidR="00C35976">
        <w:rPr>
          <w:rFonts w:ascii="Times New Roman" w:hAnsi="Times New Roman" w:cs="Times New Roman"/>
          <w:sz w:val="22"/>
          <w:szCs w:val="22"/>
        </w:rPr>
        <w:t>s</w:t>
      </w:r>
      <w:r w:rsidRPr="00EF4D43">
        <w:rPr>
          <w:rFonts w:ascii="Times New Roman" w:hAnsi="Times New Roman" w:cs="Times New Roman"/>
          <w:sz w:val="22"/>
          <w:szCs w:val="22"/>
        </w:rPr>
        <w:t>;</w:t>
      </w:r>
    </w:p>
    <w:p w14:paraId="514132BD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Haja manifestação expressa da contratada informando o interesse na prorrogação;</w:t>
      </w:r>
    </w:p>
    <w:p w14:paraId="4D444DF5" w14:textId="51F9F5DF" w:rsid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comprovado que o contratado mantém as condições iniciais de habilitação.</w:t>
      </w:r>
    </w:p>
    <w:p w14:paraId="0AF190F9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CONTRATADA não tem direito subjetivo à prorrogação contratual;</w:t>
      </w:r>
    </w:p>
    <w:p w14:paraId="705369CF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prorrogação de contrato deverá ser promovida mediante celebração de termo aditivo.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16A7E5D3" w14:textId="77777777" w:rsidR="00D2032A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424D7A">
        <w:rPr>
          <w:rFonts w:ascii="Times New Roman" w:hAnsi="Times New Roman" w:cs="Times New Roman"/>
          <w:sz w:val="22"/>
          <w:szCs w:val="22"/>
        </w:rPr>
        <w:t xml:space="preserve"> asseguradas no saldo constante na</w:t>
      </w:r>
      <w:r w:rsidR="00AC190A">
        <w:rPr>
          <w:rFonts w:ascii="Times New Roman" w:hAnsi="Times New Roman" w:cs="Times New Roman"/>
          <w:sz w:val="22"/>
          <w:szCs w:val="22"/>
        </w:rPr>
        <w:t>s</w:t>
      </w:r>
      <w:r w:rsidR="00AE367E" w:rsidRPr="00424D7A">
        <w:rPr>
          <w:rFonts w:ascii="Times New Roman" w:hAnsi="Times New Roman" w:cs="Times New Roman"/>
          <w:sz w:val="22"/>
          <w:szCs w:val="22"/>
        </w:rPr>
        <w:t xml:space="preserve"> conta</w:t>
      </w:r>
      <w:r w:rsidR="00AC190A">
        <w:rPr>
          <w:rFonts w:ascii="Times New Roman" w:hAnsi="Times New Roman" w:cs="Times New Roman"/>
          <w:sz w:val="22"/>
          <w:szCs w:val="22"/>
        </w:rPr>
        <w:t>s</w:t>
      </w:r>
      <w:r w:rsidR="00AE367E" w:rsidRPr="00424D7A">
        <w:rPr>
          <w:rFonts w:ascii="Times New Roman" w:hAnsi="Times New Roman" w:cs="Times New Roman"/>
          <w:sz w:val="22"/>
          <w:szCs w:val="22"/>
        </w:rPr>
        <w:t xml:space="preserve"> orçamentária</w:t>
      </w:r>
      <w:r w:rsidR="00AC190A">
        <w:rPr>
          <w:rFonts w:ascii="Times New Roman" w:hAnsi="Times New Roman" w:cs="Times New Roman"/>
          <w:sz w:val="22"/>
          <w:szCs w:val="22"/>
        </w:rPr>
        <w:t>s</w:t>
      </w:r>
      <w:r w:rsidR="00D2032A">
        <w:rPr>
          <w:rFonts w:ascii="Times New Roman" w:hAnsi="Times New Roman" w:cs="Times New Roman"/>
          <w:sz w:val="22"/>
          <w:szCs w:val="22"/>
        </w:rPr>
        <w:t>:</w:t>
      </w:r>
    </w:p>
    <w:p w14:paraId="1490106A" w14:textId="77777777" w:rsidR="00D2032A" w:rsidRDefault="00AC190A" w:rsidP="00D2032A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D2032A">
        <w:rPr>
          <w:rFonts w:ascii="Times New Roman" w:hAnsi="Times New Roman" w:cs="Times New Roman"/>
          <w:sz w:val="22"/>
          <w:szCs w:val="22"/>
        </w:rPr>
        <w:t>01.04.115010.330.2290059000.20004.00.00</w:t>
      </w:r>
      <w:r w:rsidR="00D2032A">
        <w:rPr>
          <w:rFonts w:ascii="Times New Roman" w:hAnsi="Times New Roman" w:cs="Times New Roman"/>
          <w:sz w:val="22"/>
          <w:szCs w:val="22"/>
        </w:rPr>
        <w:t>;</w:t>
      </w:r>
    </w:p>
    <w:p w14:paraId="473FBC82" w14:textId="77777777" w:rsidR="00D2032A" w:rsidRDefault="00AC190A" w:rsidP="00D2032A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D2032A">
        <w:rPr>
          <w:rFonts w:ascii="Times New Roman" w:hAnsi="Times New Roman" w:cs="Times New Roman"/>
          <w:sz w:val="22"/>
          <w:szCs w:val="22"/>
        </w:rPr>
        <w:t>01.04.422629.330.2201079000.20005.00.00</w:t>
      </w:r>
      <w:r w:rsidR="00D2032A">
        <w:rPr>
          <w:rFonts w:ascii="Times New Roman" w:hAnsi="Times New Roman" w:cs="Times New Roman"/>
          <w:sz w:val="22"/>
          <w:szCs w:val="22"/>
        </w:rPr>
        <w:t>;</w:t>
      </w:r>
    </w:p>
    <w:p w14:paraId="244C2CB6" w14:textId="77777777" w:rsidR="00D2032A" w:rsidRDefault="00AC190A" w:rsidP="00D2032A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D2032A">
        <w:rPr>
          <w:rFonts w:ascii="Times New Roman" w:hAnsi="Times New Roman" w:cs="Times New Roman"/>
          <w:sz w:val="22"/>
          <w:szCs w:val="22"/>
        </w:rPr>
        <w:t>01.04.422716.330.2205010000.20004.00.00</w:t>
      </w:r>
      <w:r w:rsidR="00D2032A">
        <w:rPr>
          <w:rFonts w:ascii="Times New Roman" w:hAnsi="Times New Roman" w:cs="Times New Roman"/>
          <w:sz w:val="22"/>
          <w:szCs w:val="22"/>
        </w:rPr>
        <w:t>;</w:t>
      </w:r>
    </w:p>
    <w:p w14:paraId="07277EB8" w14:textId="195C027C" w:rsidR="006E3CA5" w:rsidRDefault="00AC190A" w:rsidP="00D2032A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D2032A">
        <w:rPr>
          <w:rFonts w:ascii="Times New Roman" w:hAnsi="Times New Roman" w:cs="Times New Roman"/>
          <w:sz w:val="22"/>
          <w:szCs w:val="22"/>
        </w:rPr>
        <w:t>01.04.422703.330.2290050200.20004.00.00</w:t>
      </w:r>
      <w:r w:rsidR="00AE367E" w:rsidRPr="00424D7A">
        <w:rPr>
          <w:rFonts w:ascii="Times New Roman" w:hAnsi="Times New Roman" w:cs="Times New Roman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16A17CE6" w:rsidR="00535014" w:rsidRPr="008513F6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8513F6">
        <w:rPr>
          <w:rFonts w:ascii="Times New Roman" w:hAnsi="Times New Roman" w:cs="Times New Roman"/>
          <w:b/>
          <w:sz w:val="22"/>
          <w:szCs w:val="22"/>
        </w:rPr>
        <w:t>GARANTIA DE EXECUÇÃO</w:t>
      </w:r>
    </w:p>
    <w:p w14:paraId="176679C0" w14:textId="77777777" w:rsidR="00584C65" w:rsidRDefault="00584C65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6A725C5D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244876AE" w:rsidR="0070059F" w:rsidRPr="008513F6" w:rsidRDefault="0070059F" w:rsidP="00424D7A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OBRIGAÇÕES DA CONTRATANTE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2BAD15A7" w:rsidR="00224134" w:rsidRPr="00D2032A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D2032A">
        <w:rPr>
          <w:rFonts w:ascii="Times New Roman" w:hAnsi="Times New Roman"/>
          <w:color w:val="000000" w:themeColor="text1"/>
          <w:sz w:val="22"/>
          <w:szCs w:val="22"/>
        </w:rPr>
        <w:t>DÉCIMA SEGUNDA</w:t>
      </w:r>
      <w:r w:rsidRPr="00D2032A">
        <w:rPr>
          <w:rFonts w:ascii="Times New Roman" w:hAnsi="Times New Roman"/>
          <w:color w:val="000000" w:themeColor="text1"/>
          <w:sz w:val="22"/>
          <w:szCs w:val="22"/>
        </w:rPr>
        <w:t xml:space="preserve"> – </w:t>
      </w:r>
      <w:r w:rsidR="00AE1000" w:rsidRPr="00D2032A">
        <w:rPr>
          <w:rFonts w:ascii="Times New Roman" w:hAnsi="Times New Roman"/>
          <w:color w:val="000000" w:themeColor="text1"/>
          <w:sz w:val="22"/>
          <w:szCs w:val="22"/>
        </w:rPr>
        <w:t xml:space="preserve">DAS </w:t>
      </w:r>
      <w:r w:rsidR="00C55C28" w:rsidRPr="00D2032A">
        <w:rPr>
          <w:rFonts w:ascii="Times New Roman" w:hAnsi="Times New Roman"/>
          <w:color w:val="000000" w:themeColor="text1"/>
          <w:sz w:val="22"/>
          <w:szCs w:val="22"/>
        </w:rPr>
        <w:t>OBRIGAÇÕES DA CONTRATADA</w:t>
      </w:r>
    </w:p>
    <w:p w14:paraId="0CA9E91C" w14:textId="77777777" w:rsidR="00224134" w:rsidRPr="00D2032A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2032A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D2032A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6461CC" w14:textId="0A4FDFC2" w:rsidR="00224134" w:rsidRPr="00D2032A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D2032A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D2032A">
        <w:rPr>
          <w:rFonts w:ascii="Times New Roman" w:hAnsi="Times New Roman"/>
          <w:color w:val="000000" w:themeColor="text1"/>
          <w:sz w:val="22"/>
          <w:szCs w:val="22"/>
        </w:rPr>
        <w:t>DÉCIMA TERCEIRA</w:t>
      </w:r>
      <w:r w:rsidRPr="00D2032A">
        <w:rPr>
          <w:rFonts w:ascii="Times New Roman" w:hAnsi="Times New Roman"/>
          <w:color w:val="000000" w:themeColor="text1"/>
          <w:sz w:val="22"/>
          <w:szCs w:val="22"/>
        </w:rPr>
        <w:t xml:space="preserve"> - DA SUBCONTRATAÇÃO</w:t>
      </w:r>
    </w:p>
    <w:p w14:paraId="26086D62" w14:textId="77777777" w:rsidR="00224134" w:rsidRPr="00D2032A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2032A">
        <w:rPr>
          <w:rFonts w:ascii="Times New Roman" w:hAnsi="Times New Roman" w:cs="Times New Roman"/>
          <w:color w:val="000000" w:themeColor="text1"/>
          <w:sz w:val="22"/>
          <w:szCs w:val="22"/>
        </w:rPr>
        <w:t>Não será admitida a subcontratação do objeto licitatório.</w:t>
      </w:r>
    </w:p>
    <w:p w14:paraId="09CB2054" w14:textId="77777777" w:rsidR="00224134" w:rsidRPr="00D2032A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CC2BE1A" w14:textId="743688D4" w:rsidR="00224134" w:rsidRPr="00D2032A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D2032A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D2032A">
        <w:rPr>
          <w:rFonts w:ascii="Times New Roman" w:hAnsi="Times New Roman"/>
          <w:color w:val="000000" w:themeColor="text1"/>
          <w:sz w:val="22"/>
          <w:szCs w:val="22"/>
        </w:rPr>
        <w:t xml:space="preserve">DÉCIMA QUARTA </w:t>
      </w:r>
      <w:r w:rsidR="00AE1000" w:rsidRPr="00D2032A">
        <w:rPr>
          <w:rFonts w:ascii="Times New Roman" w:hAnsi="Times New Roman"/>
          <w:color w:val="000000" w:themeColor="text1"/>
          <w:sz w:val="22"/>
          <w:szCs w:val="22"/>
        </w:rPr>
        <w:t>–</w:t>
      </w:r>
      <w:r w:rsidR="00FF578B" w:rsidRPr="00D2032A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AE1000" w:rsidRPr="00D2032A">
        <w:rPr>
          <w:rFonts w:ascii="Times New Roman" w:hAnsi="Times New Roman"/>
          <w:color w:val="000000" w:themeColor="text1"/>
          <w:sz w:val="22"/>
          <w:szCs w:val="22"/>
        </w:rPr>
        <w:t xml:space="preserve">DA </w:t>
      </w:r>
      <w:r w:rsidRPr="00D2032A">
        <w:rPr>
          <w:rFonts w:ascii="Times New Roman" w:hAnsi="Times New Roman"/>
          <w:color w:val="000000" w:themeColor="text1"/>
          <w:sz w:val="22"/>
          <w:szCs w:val="22"/>
        </w:rPr>
        <w:t>ALTERAÇÃO SUBJETIVA</w:t>
      </w:r>
    </w:p>
    <w:p w14:paraId="5603E5F4" w14:textId="77777777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D2032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É admissível a fusão, cisão ou incorporação </w:t>
      </w:r>
      <w:r w:rsidRPr="00AE367E">
        <w:rPr>
          <w:rFonts w:ascii="Times New Roman" w:hAnsi="Times New Roman" w:cs="Times New Roman"/>
          <w:sz w:val="22"/>
          <w:szCs w:val="22"/>
        </w:rPr>
        <w:t>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190888A3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FF578B">
        <w:rPr>
          <w:rFonts w:ascii="Times New Roman" w:hAnsi="Times New Roman"/>
          <w:sz w:val="22"/>
          <w:szCs w:val="22"/>
        </w:rPr>
        <w:t>QUINTA</w:t>
      </w:r>
      <w:r w:rsidR="00AE1000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6453B9C2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 w:rsidRPr="003A5F6E">
        <w:rPr>
          <w:rFonts w:ascii="Times New Roman" w:hAnsi="Times New Roman" w:cs="Times New Roman"/>
          <w:b/>
          <w:sz w:val="22"/>
          <w:szCs w:val="22"/>
        </w:rPr>
        <w:t>SEXTA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62E9ACAD" w14:textId="7A2B8F56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Regulamento de Licitações e Contratações da Hemobrás, sem prejuízo da aplicação das sanções previstas na </w:t>
      </w:r>
      <w:r w:rsidRPr="000B1E65">
        <w:rPr>
          <w:rFonts w:ascii="Times New Roman" w:hAnsi="Times New Roman" w:cs="Times New Roman"/>
          <w:color w:val="FF0000"/>
          <w:sz w:val="22"/>
          <w:szCs w:val="22"/>
        </w:rPr>
        <w:t xml:space="preserve">Cláusula Décima </w:t>
      </w:r>
      <w:r w:rsidR="003A5F6E">
        <w:rPr>
          <w:rFonts w:ascii="Times New Roman" w:hAnsi="Times New Roman" w:cs="Times New Roman"/>
          <w:color w:val="FF0000"/>
          <w:sz w:val="22"/>
          <w:szCs w:val="22"/>
        </w:rPr>
        <w:t>Quinta</w:t>
      </w:r>
      <w:r w:rsidRPr="008C6FEB">
        <w:rPr>
          <w:rFonts w:ascii="Times New Roman" w:hAnsi="Times New Roman" w:cs="Times New Roman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A CONTRATADA reconhece os direitos da CONTRATANTE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5BAEB8A8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3F28F117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OITAVA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64560324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3DA0F54E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16211DA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23024C80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 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0403B2BF" w:rsidR="0068362E" w:rsidRPr="008513F6" w:rsidRDefault="0068362E" w:rsidP="00AE1000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>VIGÉSIMA SEGUNDA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43747017" w14:textId="71FD3D16" w:rsidR="0068362E" w:rsidRDefault="0068362E" w:rsidP="0068362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contratada</w:t>
      </w:r>
      <w:r w:rsidRPr="00AC249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c</w:t>
      </w:r>
      <w:r w:rsidRPr="00AC2494">
        <w:rPr>
          <w:rFonts w:ascii="Times New Roman" w:hAnsi="Times New Roman" w:cs="Times New Roman"/>
          <w:sz w:val="22"/>
          <w:szCs w:val="22"/>
        </w:rPr>
        <w:t xml:space="preserve">ompromete-se com o cumprimento do estabelecido no Programa de Integridade da Hemobrás, disponível no </w:t>
      </w:r>
      <w:r>
        <w:rPr>
          <w:rFonts w:ascii="Times New Roman" w:hAnsi="Times New Roman" w:cs="Times New Roman"/>
          <w:sz w:val="22"/>
          <w:szCs w:val="22"/>
        </w:rPr>
        <w:t xml:space="preserve">endereço eletrônico </w:t>
      </w:r>
      <w:hyperlink r:id="rId7" w:history="1">
        <w:r w:rsidR="00362BD8" w:rsidRPr="00393AD6">
          <w:rPr>
            <w:rStyle w:val="Hyperlink"/>
            <w:rFonts w:ascii="Times New Roman" w:hAnsi="Times New Roman" w:cs="Times New Roman"/>
            <w:sz w:val="22"/>
            <w:szCs w:val="22"/>
          </w:rPr>
          <w:t>www.hemobras.gov.br</w:t>
        </w:r>
      </w:hyperlink>
      <w:r w:rsidRPr="00AC2494">
        <w:rPr>
          <w:rFonts w:ascii="Times New Roman" w:hAnsi="Times New Roman" w:cs="Times New Roman"/>
          <w:sz w:val="22"/>
          <w:szCs w:val="22"/>
        </w:rPr>
        <w:t>.</w:t>
      </w:r>
    </w:p>
    <w:p w14:paraId="5822E1B5" w14:textId="77777777" w:rsidR="00362BD8" w:rsidRPr="00AC2494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36D03D96" w:rsidR="00362BD8" w:rsidRPr="008513F6" w:rsidRDefault="00362BD8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TERCEIRA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738BD17C" w:rsidR="0070059F" w:rsidRPr="008513F6" w:rsidRDefault="000D6C4C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D2032A">
        <w:rPr>
          <w:rFonts w:ascii="Times New Roman" w:hAnsi="Times New Roman" w:cs="Times New Roman"/>
          <w:b/>
          <w:sz w:val="22"/>
          <w:szCs w:val="22"/>
        </w:rPr>
        <w:t>QUARTA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77777777" w:rsidR="00385D96" w:rsidRPr="00385D96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526690C" w14:textId="5047B6D0" w:rsidR="00385D96" w:rsidRPr="00385D96" w:rsidRDefault="00385D96" w:rsidP="004579B0">
      <w:pPr>
        <w:jc w:val="right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Recife-PE, ___</w:t>
      </w:r>
      <w:proofErr w:type="gramStart"/>
      <w:r w:rsidRPr="00385D96">
        <w:rPr>
          <w:rFonts w:ascii="Times New Roman" w:hAnsi="Times New Roman" w:cs="Times New Roman"/>
          <w:sz w:val="22"/>
          <w:szCs w:val="22"/>
        </w:rPr>
        <w:t>_  de</w:t>
      </w:r>
      <w:proofErr w:type="gramEnd"/>
      <w:r w:rsidRPr="00385D96">
        <w:rPr>
          <w:rFonts w:ascii="Times New Roman" w:hAnsi="Times New Roman" w:cs="Times New Roman"/>
          <w:sz w:val="22"/>
          <w:szCs w:val="22"/>
        </w:rPr>
        <w:t xml:space="preserve"> ________________  </w:t>
      </w:r>
      <w:proofErr w:type="spellStart"/>
      <w:r w:rsidRPr="00385D96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385D96">
        <w:rPr>
          <w:rFonts w:ascii="Times New Roman" w:hAnsi="Times New Roman" w:cs="Times New Roman"/>
          <w:sz w:val="22"/>
          <w:szCs w:val="22"/>
        </w:rPr>
        <w:t xml:space="preserve">  20</w:t>
      </w:r>
      <w:r w:rsidR="00AE367E" w:rsidRPr="00AE367E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4579B0" w:rsidRDefault="002C539E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Contratada</w:t>
            </w:r>
            <w:r w:rsidR="00385D96" w:rsidRPr="004579B0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2</w:t>
            </w:r>
          </w:p>
        </w:tc>
      </w:tr>
      <w:tr w:rsidR="00385D96" w:rsidRPr="00385D96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385D96" w:rsidRPr="00385D96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7327AF">
      <w:headerReference w:type="default" r:id="rId8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2"/>
  </w:num>
  <w:num w:numId="5">
    <w:abstractNumId w:val="15"/>
  </w:num>
  <w:num w:numId="6">
    <w:abstractNumId w:val="28"/>
  </w:num>
  <w:num w:numId="7">
    <w:abstractNumId w:val="25"/>
  </w:num>
  <w:num w:numId="8">
    <w:abstractNumId w:val="26"/>
  </w:num>
  <w:num w:numId="9">
    <w:abstractNumId w:val="31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6"/>
  </w:num>
  <w:num w:numId="29">
    <w:abstractNumId w:val="38"/>
  </w:num>
  <w:num w:numId="30">
    <w:abstractNumId w:val="33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7"/>
  </w:num>
  <w:num w:numId="37">
    <w:abstractNumId w:val="21"/>
  </w:num>
  <w:num w:numId="38">
    <w:abstractNumId w:val="30"/>
  </w:num>
  <w:num w:numId="39">
    <w:abstractNumId w:val="35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1795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4D7A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579B0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5DE1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190A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032A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3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1B179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B1795"/>
    <w:pPr>
      <w:widowControl w:val="0"/>
      <w:autoSpaceDE w:val="0"/>
      <w:autoSpaceDN w:val="0"/>
    </w:pPr>
    <w:rPr>
      <w:rFonts w:ascii="Times New Roman" w:hAnsi="Times New Roman" w:cs="Times New Roman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mobras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37</TotalTime>
  <Pages>1</Pages>
  <Words>1966</Words>
  <Characters>11100</Characters>
  <Application>Microsoft Office Word</Application>
  <DocSecurity>0</DocSecurity>
  <Lines>92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6</cp:revision>
  <cp:lastPrinted>2017-09-20T20:17:00Z</cp:lastPrinted>
  <dcterms:created xsi:type="dcterms:W3CDTF">2023-01-05T12:33:00Z</dcterms:created>
  <dcterms:modified xsi:type="dcterms:W3CDTF">2023-05-03T13:45:00Z</dcterms:modified>
</cp:coreProperties>
</file>