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7A8B0" w14:textId="5C2FD000" w:rsidR="00F37551" w:rsidRPr="00F37551" w:rsidRDefault="00F37551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bookmarkStart w:id="0" w:name="_GoBack"/>
      <w:r w:rsidRPr="00F37551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5D52C335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1F9BF689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F37551" w:rsidRPr="00F37551">
        <w:rPr>
          <w:rFonts w:ascii="Times New Roman" w:hAnsi="Times New Roman" w:cs="Times New Roman"/>
          <w:sz w:val="22"/>
          <w:szCs w:val="22"/>
        </w:rPr>
        <w:t>000609/2025-51</w:t>
      </w:r>
      <w:r w:rsidR="00F37551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7930D8">
      <w:pPr>
        <w:spacing w:line="276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5FD63E02" w:rsidR="003A37D8" w:rsidRPr="00AE367E" w:rsidRDefault="003A37D8" w:rsidP="007930D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 xml:space="preserve">alterado na </w:t>
      </w:r>
      <w:r w:rsidR="007C3476">
        <w:rPr>
          <w:rFonts w:ascii="Times New Roman" w:hAnsi="Times New Roman" w:cs="Times New Roman"/>
          <w:sz w:val="22"/>
          <w:szCs w:val="22"/>
        </w:rPr>
        <w:t>4</w:t>
      </w:r>
      <w:r w:rsidR="00A0356D" w:rsidRPr="00777101">
        <w:rPr>
          <w:rFonts w:ascii="Times New Roman" w:hAnsi="Times New Roman" w:cs="Times New Roman"/>
          <w:sz w:val="22"/>
          <w:szCs w:val="22"/>
        </w:rPr>
        <w:t xml:space="preserve">ª Assembleia Geral Extraordinária de </w:t>
      </w:r>
      <w:r w:rsidR="007C3476">
        <w:rPr>
          <w:rFonts w:ascii="Times New Roman" w:hAnsi="Times New Roman" w:cs="Times New Roman"/>
          <w:sz w:val="22"/>
          <w:szCs w:val="22"/>
        </w:rPr>
        <w:t>19</w:t>
      </w:r>
      <w:r w:rsidR="00A0356D" w:rsidRPr="00777101">
        <w:rPr>
          <w:rFonts w:ascii="Times New Roman" w:hAnsi="Times New Roman" w:cs="Times New Roman"/>
          <w:sz w:val="22"/>
          <w:szCs w:val="22"/>
        </w:rPr>
        <w:t xml:space="preserve"> de </w:t>
      </w:r>
      <w:r w:rsidR="007C3476">
        <w:rPr>
          <w:rFonts w:ascii="Times New Roman" w:hAnsi="Times New Roman" w:cs="Times New Roman"/>
          <w:sz w:val="22"/>
          <w:szCs w:val="22"/>
        </w:rPr>
        <w:t>setembro</w:t>
      </w:r>
      <w:r w:rsidR="00A0356D" w:rsidRPr="00777101">
        <w:rPr>
          <w:rFonts w:ascii="Times New Roman" w:hAnsi="Times New Roman" w:cs="Times New Roman"/>
          <w:sz w:val="22"/>
          <w:szCs w:val="22"/>
        </w:rPr>
        <w:t xml:space="preserve"> de 202</w:t>
      </w:r>
      <w:r w:rsidR="007C3476">
        <w:rPr>
          <w:rFonts w:ascii="Times New Roman" w:hAnsi="Times New Roman" w:cs="Times New Roman"/>
          <w:sz w:val="22"/>
          <w:szCs w:val="22"/>
        </w:rPr>
        <w:t>5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2ABCF165" w:rsidR="003A37D8" w:rsidRDefault="003A37D8" w:rsidP="007930D8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A11389" w:rsidRPr="00A11389">
        <w:rPr>
          <w:rFonts w:ascii="Times New Roman" w:hAnsi="Times New Roman" w:cs="Times New Roman"/>
          <w:sz w:val="22"/>
          <w:szCs w:val="22"/>
        </w:rPr>
        <w:t>000609/2025-51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27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julho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13C1E654" w:rsid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0ADE1E3" w14:textId="79BF6BDF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F9A42DF" w14:textId="1C043E67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9DAC3A4" w14:textId="38623197" w:rsidR="007930D8" w:rsidRDefault="007930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A152E12" w14:textId="010FDF5F" w:rsidR="00B844DC" w:rsidRDefault="00B844DC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8F8FD40" w14:textId="77777777" w:rsidR="001E6D49" w:rsidRPr="003F29C4" w:rsidRDefault="001E6D49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18EB4407" w:rsidR="00B01E82" w:rsidRPr="003F29C4" w:rsidRDefault="0070059F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>instrume</w:t>
      </w:r>
      <w:r w:rsidR="00A40017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nto </w:t>
      </w: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915306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aquisição</w:t>
      </w:r>
      <w:r w:rsidR="00EF2567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de</w:t>
      </w: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11389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frascarias, materiais de amostragem e materiais gerais de laboratório</w:t>
      </w:r>
      <w:r w:rsidR="00B01E82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que 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serão </w:t>
      </w:r>
      <w:r w:rsidR="00915306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A11389" w:rsidRDefault="00A40017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</w:t>
      </w:r>
      <w:r w:rsidRPr="00A1138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Termo de Contrato vincula-se ao </w:t>
      </w:r>
      <w:r w:rsidR="00B01E82" w:rsidRPr="00A11389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A11389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A1138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A11389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149D8328" w:rsidR="000575AE" w:rsidRPr="00A11389" w:rsidRDefault="00424D7A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11389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A11389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comgrade"/>
        <w:tblpPr w:leftFromText="180" w:rightFromText="180" w:vertAnchor="text" w:tblpXSpec="center" w:tblpY="1"/>
        <w:tblOverlap w:val="never"/>
        <w:tblW w:w="9073" w:type="dxa"/>
        <w:tblLook w:val="04A0" w:firstRow="1" w:lastRow="0" w:firstColumn="1" w:lastColumn="0" w:noHBand="0" w:noVBand="1"/>
      </w:tblPr>
      <w:tblGrid>
        <w:gridCol w:w="644"/>
        <w:gridCol w:w="3394"/>
        <w:gridCol w:w="823"/>
        <w:gridCol w:w="1559"/>
        <w:gridCol w:w="1418"/>
        <w:gridCol w:w="1235"/>
      </w:tblGrid>
      <w:tr w:rsidR="001E6D49" w:rsidRPr="001E6D49" w14:paraId="66DB17B1" w14:textId="77777777" w:rsidTr="001E6D49">
        <w:trPr>
          <w:trHeight w:val="274"/>
        </w:trPr>
        <w:tc>
          <w:tcPr>
            <w:tcW w:w="644" w:type="dxa"/>
            <w:vMerge w:val="restart"/>
            <w:shd w:val="clear" w:color="auto" w:fill="D9D9D9" w:themeFill="background1" w:themeFillShade="D9"/>
            <w:vAlign w:val="center"/>
          </w:tcPr>
          <w:p w14:paraId="1C7188C7" w14:textId="578B3AD6" w:rsidR="001E6D49" w:rsidRPr="001E6D49" w:rsidRDefault="001E6D49" w:rsidP="001E6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D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3394" w:type="dxa"/>
            <w:vMerge w:val="restart"/>
            <w:shd w:val="clear" w:color="auto" w:fill="D9D9D9" w:themeFill="background1" w:themeFillShade="D9"/>
            <w:vAlign w:val="center"/>
          </w:tcPr>
          <w:p w14:paraId="4A98ECB8" w14:textId="0FF8C816" w:rsidR="001E6D49" w:rsidRPr="001E6D49" w:rsidRDefault="001E6D49" w:rsidP="001E6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D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DESCRIÇÃO CURTO</w:t>
            </w:r>
          </w:p>
        </w:tc>
        <w:tc>
          <w:tcPr>
            <w:tcW w:w="823" w:type="dxa"/>
            <w:vMerge w:val="restart"/>
            <w:shd w:val="clear" w:color="auto" w:fill="D9D9D9" w:themeFill="background1" w:themeFillShade="D9"/>
            <w:vAlign w:val="center"/>
          </w:tcPr>
          <w:p w14:paraId="67BE320C" w14:textId="33BA441B" w:rsidR="001E6D49" w:rsidRPr="001E6D49" w:rsidRDefault="001E6D49" w:rsidP="001E6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D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QUANT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0692E316" w14:textId="3723A341" w:rsidR="001E6D49" w:rsidRPr="001E6D49" w:rsidRDefault="001E6D49" w:rsidP="001E6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6D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UNIDADE DE FORNECIMENTO</w:t>
            </w:r>
          </w:p>
        </w:tc>
        <w:tc>
          <w:tcPr>
            <w:tcW w:w="2653" w:type="dxa"/>
            <w:gridSpan w:val="2"/>
            <w:shd w:val="clear" w:color="auto" w:fill="D9D9D9" w:themeFill="background1" w:themeFillShade="D9"/>
            <w:vAlign w:val="center"/>
          </w:tcPr>
          <w:p w14:paraId="452CE85D" w14:textId="4DABA8F6" w:rsidR="001E6D49" w:rsidRPr="001E6D49" w:rsidRDefault="001E6D49" w:rsidP="001E6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PREÇO</w:t>
            </w:r>
          </w:p>
        </w:tc>
      </w:tr>
      <w:tr w:rsidR="001E6D49" w:rsidRPr="001E6D49" w14:paraId="1B8DAE86" w14:textId="77777777" w:rsidTr="001E6D49">
        <w:trPr>
          <w:trHeight w:val="267"/>
        </w:trPr>
        <w:tc>
          <w:tcPr>
            <w:tcW w:w="644" w:type="dxa"/>
            <w:vMerge/>
            <w:shd w:val="clear" w:color="auto" w:fill="D9D9D9" w:themeFill="background1" w:themeFillShade="D9"/>
            <w:vAlign w:val="center"/>
          </w:tcPr>
          <w:p w14:paraId="7709C31C" w14:textId="0A436BCD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394" w:type="dxa"/>
            <w:vMerge/>
            <w:shd w:val="clear" w:color="auto" w:fill="D9D9D9" w:themeFill="background1" w:themeFillShade="D9"/>
            <w:vAlign w:val="center"/>
          </w:tcPr>
          <w:p w14:paraId="4C8F058D" w14:textId="62206613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823" w:type="dxa"/>
            <w:vMerge/>
            <w:shd w:val="clear" w:color="auto" w:fill="D9D9D9" w:themeFill="background1" w:themeFillShade="D9"/>
            <w:vAlign w:val="center"/>
          </w:tcPr>
          <w:p w14:paraId="25D4E025" w14:textId="75D2D174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noWrap/>
            <w:vAlign w:val="center"/>
          </w:tcPr>
          <w:p w14:paraId="72A7B0D2" w14:textId="2A2A62F9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37702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UNITÁRIO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14:paraId="37D5AE5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TOTAL</w:t>
            </w:r>
          </w:p>
        </w:tc>
      </w:tr>
      <w:tr w:rsidR="001E6D49" w:rsidRPr="001E6D49" w14:paraId="0914685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56D14A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3394" w:type="dxa"/>
            <w:vAlign w:val="center"/>
            <w:hideMark/>
          </w:tcPr>
          <w:p w14:paraId="64BD6F6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Bandeja descartável para pesagem formato quadrado 7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267B97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70436F3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60E480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CEF080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315766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EF46D8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3394" w:type="dxa"/>
            <w:vAlign w:val="center"/>
            <w:hideMark/>
          </w:tcPr>
          <w:p w14:paraId="3219F72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Bandeja descartável para pesagem formato quadrado 100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92AA43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63EA11F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5C1127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AEE4D3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7F8108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96CEAA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3394" w:type="dxa"/>
            <w:vAlign w:val="center"/>
            <w:hideMark/>
          </w:tcPr>
          <w:p w14:paraId="32738F5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Bandeja descartável para pesagem formato quadrado 250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64FDC8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10CCA0B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53DFBE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5F6611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EC3680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29E6B4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3394" w:type="dxa"/>
            <w:vAlign w:val="center"/>
            <w:hideMark/>
          </w:tcPr>
          <w:p w14:paraId="728635A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Bandeja descartável para pesagem formato diamante, 30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1C5C7C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3B8DCB1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9B4711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A6278D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BB27E2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97B127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3394" w:type="dxa"/>
            <w:vAlign w:val="center"/>
            <w:hideMark/>
          </w:tcPr>
          <w:p w14:paraId="11810A7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Membrana de filtração de Nylon 0,45 µm,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47 mm</w:t>
            </w:r>
          </w:p>
        </w:tc>
        <w:tc>
          <w:tcPr>
            <w:tcW w:w="823" w:type="dxa"/>
            <w:vAlign w:val="center"/>
            <w:hideMark/>
          </w:tcPr>
          <w:p w14:paraId="1E7C6FB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</w:r>
          </w:p>
        </w:tc>
        <w:tc>
          <w:tcPr>
            <w:tcW w:w="1559" w:type="dxa"/>
            <w:noWrap/>
            <w:vAlign w:val="center"/>
            <w:hideMark/>
          </w:tcPr>
          <w:p w14:paraId="26D7C26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E4A0FA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A4888B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B2A90E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99F2AB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3394" w:type="dxa"/>
            <w:vAlign w:val="center"/>
            <w:hideMark/>
          </w:tcPr>
          <w:p w14:paraId="4A3661F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Filtro de seringa de Nylon, diâmetro 13mm, poro 0,22um</w:t>
            </w:r>
          </w:p>
        </w:tc>
        <w:tc>
          <w:tcPr>
            <w:tcW w:w="823" w:type="dxa"/>
            <w:vAlign w:val="center"/>
            <w:hideMark/>
          </w:tcPr>
          <w:p w14:paraId="2358C5A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</w:r>
          </w:p>
        </w:tc>
        <w:tc>
          <w:tcPr>
            <w:tcW w:w="1559" w:type="dxa"/>
            <w:noWrap/>
            <w:vAlign w:val="center"/>
            <w:hideMark/>
          </w:tcPr>
          <w:p w14:paraId="1FA4573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EB38D6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943DAB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6A8A8A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B05890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3394" w:type="dxa"/>
            <w:vAlign w:val="center"/>
            <w:hideMark/>
          </w:tcPr>
          <w:p w14:paraId="5E673B6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Membrana filtrante em PES, diâmetro 47mm, poro 0,22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μm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395E67B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14:paraId="75BD78A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0CB4A3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1EB9B1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272E435" w14:textId="77777777" w:rsidTr="001E6D49">
        <w:trPr>
          <w:trHeight w:val="795"/>
        </w:trPr>
        <w:tc>
          <w:tcPr>
            <w:tcW w:w="644" w:type="dxa"/>
            <w:noWrap/>
            <w:vAlign w:val="center"/>
            <w:hideMark/>
          </w:tcPr>
          <w:p w14:paraId="5F5AECF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3394" w:type="dxa"/>
            <w:vAlign w:val="center"/>
            <w:hideMark/>
          </w:tcPr>
          <w:p w14:paraId="3E419D3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Membrana filtrante, nitrato de celulose, diâmetro 47 mm, poro 0,22 µm</w:t>
            </w:r>
          </w:p>
        </w:tc>
        <w:tc>
          <w:tcPr>
            <w:tcW w:w="823" w:type="dxa"/>
            <w:vAlign w:val="center"/>
            <w:hideMark/>
          </w:tcPr>
          <w:p w14:paraId="7638B16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14:paraId="77FA8A4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197486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3C1F22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05CA333" w14:textId="77777777" w:rsidTr="001E6D49">
        <w:trPr>
          <w:trHeight w:val="720"/>
        </w:trPr>
        <w:tc>
          <w:tcPr>
            <w:tcW w:w="644" w:type="dxa"/>
            <w:noWrap/>
            <w:vAlign w:val="center"/>
            <w:hideMark/>
          </w:tcPr>
          <w:p w14:paraId="4CA9A7A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3394" w:type="dxa"/>
            <w:vAlign w:val="center"/>
            <w:hideMark/>
          </w:tcPr>
          <w:p w14:paraId="2390DEA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Membrana de filtração de PTFE, poro 0,45 µm,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diâmetro 47 mm</w:t>
            </w:r>
          </w:p>
        </w:tc>
        <w:tc>
          <w:tcPr>
            <w:tcW w:w="823" w:type="dxa"/>
            <w:vAlign w:val="center"/>
            <w:hideMark/>
          </w:tcPr>
          <w:p w14:paraId="07BA564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14:paraId="128BCE3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871C15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F13A98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20639D3" w14:textId="77777777" w:rsidTr="001E6D49">
        <w:trPr>
          <w:trHeight w:val="885"/>
        </w:trPr>
        <w:tc>
          <w:tcPr>
            <w:tcW w:w="644" w:type="dxa"/>
            <w:noWrap/>
            <w:vAlign w:val="center"/>
            <w:hideMark/>
          </w:tcPr>
          <w:p w14:paraId="4CEDA39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3394" w:type="dxa"/>
            <w:vAlign w:val="center"/>
            <w:hideMark/>
          </w:tcPr>
          <w:p w14:paraId="53AA677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Filtro de seringa PTFE hidrofóbico, diâmetro 13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mm, poro 0,2 µm</w:t>
            </w:r>
          </w:p>
        </w:tc>
        <w:tc>
          <w:tcPr>
            <w:tcW w:w="823" w:type="dxa"/>
            <w:vAlign w:val="center"/>
            <w:hideMark/>
          </w:tcPr>
          <w:p w14:paraId="4B50519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6356F66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A36CFF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3D5F43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D5F1E38" w14:textId="77777777" w:rsidTr="001E6D49">
        <w:trPr>
          <w:trHeight w:val="795"/>
        </w:trPr>
        <w:tc>
          <w:tcPr>
            <w:tcW w:w="644" w:type="dxa"/>
            <w:noWrap/>
            <w:vAlign w:val="center"/>
            <w:hideMark/>
          </w:tcPr>
          <w:p w14:paraId="43E4F95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3394" w:type="dxa"/>
            <w:vAlign w:val="center"/>
            <w:hideMark/>
          </w:tcPr>
          <w:p w14:paraId="423E667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Filtro de seringa em PVDF, poro 0,45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μm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poro e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diâmetro 13 mm, hidrofílica.</w:t>
            </w:r>
          </w:p>
        </w:tc>
        <w:tc>
          <w:tcPr>
            <w:tcW w:w="823" w:type="dxa"/>
            <w:vAlign w:val="center"/>
            <w:hideMark/>
          </w:tcPr>
          <w:p w14:paraId="6EED7DE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2803FA3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BA3984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E14C1E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06F031E" w14:textId="77777777" w:rsidTr="001E6D49">
        <w:trPr>
          <w:trHeight w:val="855"/>
        </w:trPr>
        <w:tc>
          <w:tcPr>
            <w:tcW w:w="644" w:type="dxa"/>
            <w:noWrap/>
            <w:vAlign w:val="center"/>
            <w:hideMark/>
          </w:tcPr>
          <w:p w14:paraId="551734B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3394" w:type="dxa"/>
            <w:vAlign w:val="center"/>
            <w:hideMark/>
          </w:tcPr>
          <w:p w14:paraId="764F342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Membrana de filtração em PVDF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 xml:space="preserve">hidrofílico, poro 0,45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μm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,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diâmetro 47 mm.</w:t>
            </w:r>
          </w:p>
        </w:tc>
        <w:tc>
          <w:tcPr>
            <w:tcW w:w="823" w:type="dxa"/>
            <w:vAlign w:val="center"/>
            <w:hideMark/>
          </w:tcPr>
          <w:p w14:paraId="5791129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14:paraId="7383E57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6076E5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6218EC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4FA03DE" w14:textId="77777777" w:rsidTr="001E6D49">
        <w:trPr>
          <w:trHeight w:val="840"/>
        </w:trPr>
        <w:tc>
          <w:tcPr>
            <w:tcW w:w="644" w:type="dxa"/>
            <w:noWrap/>
            <w:vAlign w:val="center"/>
            <w:hideMark/>
          </w:tcPr>
          <w:p w14:paraId="4DD770C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3394" w:type="dxa"/>
            <w:vAlign w:val="center"/>
            <w:hideMark/>
          </w:tcPr>
          <w:p w14:paraId="5D0EB58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Membrana de filtração em PVDF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 xml:space="preserve">hidrofóbico, poro 0,45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μm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,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diâmetro 47 mm.</w:t>
            </w:r>
          </w:p>
        </w:tc>
        <w:tc>
          <w:tcPr>
            <w:tcW w:w="823" w:type="dxa"/>
            <w:vAlign w:val="center"/>
            <w:hideMark/>
          </w:tcPr>
          <w:p w14:paraId="18569BB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14:paraId="4DA1752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6175A2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8EADBA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2ADBC2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6731FD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3394" w:type="dxa"/>
            <w:vAlign w:val="center"/>
            <w:hideMark/>
          </w:tcPr>
          <w:p w14:paraId="3999137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estéril 250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08C4AB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611A445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7BB8D0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11D0DF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10C7D4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E192FC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15</w:t>
            </w:r>
          </w:p>
        </w:tc>
        <w:tc>
          <w:tcPr>
            <w:tcW w:w="3394" w:type="dxa"/>
            <w:vAlign w:val="center"/>
            <w:hideMark/>
          </w:tcPr>
          <w:p w14:paraId="574B401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estéril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7CE64E7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2A5C966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D02B46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BCEA13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5C1881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72DBCC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3394" w:type="dxa"/>
            <w:vAlign w:val="center"/>
            <w:hideMark/>
          </w:tcPr>
          <w:p w14:paraId="40B0889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estéril para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 xml:space="preserve">centrifugação 1,5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(Tipo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eppendorf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823" w:type="dxa"/>
            <w:vAlign w:val="center"/>
            <w:hideMark/>
          </w:tcPr>
          <w:p w14:paraId="4F7508A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559" w:type="dxa"/>
            <w:noWrap/>
            <w:vAlign w:val="center"/>
            <w:hideMark/>
          </w:tcPr>
          <w:p w14:paraId="57DAF6C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639AB3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D698FE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405A7FA" w14:textId="77777777" w:rsidTr="001E6D49">
        <w:trPr>
          <w:trHeight w:val="780"/>
        </w:trPr>
        <w:tc>
          <w:tcPr>
            <w:tcW w:w="644" w:type="dxa"/>
            <w:noWrap/>
            <w:vAlign w:val="center"/>
            <w:hideMark/>
          </w:tcPr>
          <w:p w14:paraId="6C8F0D8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3394" w:type="dxa"/>
            <w:vAlign w:val="center"/>
            <w:hideMark/>
          </w:tcPr>
          <w:p w14:paraId="470619A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estéril para centrifugação 2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(Tipo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eppendorf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823" w:type="dxa"/>
            <w:vAlign w:val="center"/>
            <w:hideMark/>
          </w:tcPr>
          <w:p w14:paraId="5013FFF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559" w:type="dxa"/>
            <w:noWrap/>
            <w:vAlign w:val="center"/>
            <w:hideMark/>
          </w:tcPr>
          <w:p w14:paraId="2A4F020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40D2D2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889A82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616A40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80A15B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3394" w:type="dxa"/>
            <w:vAlign w:val="center"/>
            <w:hideMark/>
          </w:tcPr>
          <w:p w14:paraId="35F0A71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centrifugação 1,5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6C45DBA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559" w:type="dxa"/>
            <w:noWrap/>
            <w:vAlign w:val="center"/>
            <w:hideMark/>
          </w:tcPr>
          <w:p w14:paraId="4F08F43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58D5B0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AE9600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AAA646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D9F30B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3394" w:type="dxa"/>
            <w:vAlign w:val="center"/>
            <w:hideMark/>
          </w:tcPr>
          <w:p w14:paraId="6F1D326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centrifugação 2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E23634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559" w:type="dxa"/>
            <w:noWrap/>
            <w:vAlign w:val="center"/>
            <w:hideMark/>
          </w:tcPr>
          <w:p w14:paraId="3EA5385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36F6AB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45E247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EE50B5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5DA24C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3394" w:type="dxa"/>
            <w:vAlign w:val="center"/>
            <w:hideMark/>
          </w:tcPr>
          <w:p w14:paraId="3CC18E9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Papel para Pesagem 9 x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11,5 cm</w:t>
            </w:r>
          </w:p>
        </w:tc>
        <w:tc>
          <w:tcPr>
            <w:tcW w:w="823" w:type="dxa"/>
            <w:vAlign w:val="center"/>
            <w:hideMark/>
          </w:tcPr>
          <w:p w14:paraId="68889F8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5C5C17D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40B763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6C3C18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4BF41C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3F0457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3394" w:type="dxa"/>
            <w:vAlign w:val="center"/>
            <w:hideMark/>
          </w:tcPr>
          <w:p w14:paraId="53A5F00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Papel indicador de pH</w:t>
            </w:r>
          </w:p>
        </w:tc>
        <w:tc>
          <w:tcPr>
            <w:tcW w:w="823" w:type="dxa"/>
            <w:vAlign w:val="center"/>
            <w:hideMark/>
          </w:tcPr>
          <w:p w14:paraId="1FF5F17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393C5F0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C168DB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847C78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90EAC4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84BCCD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3394" w:type="dxa"/>
            <w:vAlign w:val="center"/>
            <w:hideMark/>
          </w:tcPr>
          <w:p w14:paraId="6EFECBA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Frasco coletor</w:t>
            </w:r>
          </w:p>
        </w:tc>
        <w:tc>
          <w:tcPr>
            <w:tcW w:w="823" w:type="dxa"/>
            <w:vAlign w:val="center"/>
            <w:hideMark/>
          </w:tcPr>
          <w:p w14:paraId="3FD83E5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65DCFDC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A018C0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86580E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6F628C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2F5016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3394" w:type="dxa"/>
            <w:vAlign w:val="center"/>
            <w:hideMark/>
          </w:tcPr>
          <w:p w14:paraId="1C42C64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Pipeta Pasteur 2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, tipo ponta curta</w:t>
            </w:r>
          </w:p>
        </w:tc>
        <w:tc>
          <w:tcPr>
            <w:tcW w:w="823" w:type="dxa"/>
            <w:vAlign w:val="center"/>
            <w:hideMark/>
          </w:tcPr>
          <w:p w14:paraId="48BE263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41CC758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BC49CD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0C0FEA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0D9C33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C86570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3394" w:type="dxa"/>
            <w:vAlign w:val="center"/>
            <w:hideMark/>
          </w:tcPr>
          <w:p w14:paraId="58C52BA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Pipeta Pasteur de Vidro 3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Ponta Longa 230mm</w:t>
            </w:r>
          </w:p>
        </w:tc>
        <w:tc>
          <w:tcPr>
            <w:tcW w:w="823" w:type="dxa"/>
            <w:vAlign w:val="center"/>
            <w:hideMark/>
          </w:tcPr>
          <w:p w14:paraId="1F28F23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00E149E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DDCEA8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F1EEF9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A0B417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D23666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3394" w:type="dxa"/>
            <w:vAlign w:val="center"/>
            <w:hideMark/>
          </w:tcPr>
          <w:p w14:paraId="721C718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Pipeta Pasteur de plástico, 3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83D434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7149F96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DF156E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EA0CDF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3A077C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CDB7B6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3394" w:type="dxa"/>
            <w:vAlign w:val="center"/>
            <w:hideMark/>
          </w:tcPr>
          <w:p w14:paraId="5B1ACE7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Pipeta Pasteur de plástico, 10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E6FFBE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191FC81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34C589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2EFC68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179E7F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E1FA00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3394" w:type="dxa"/>
            <w:vAlign w:val="center"/>
            <w:hideMark/>
          </w:tcPr>
          <w:p w14:paraId="2E4AEFC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criogênico,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BDC965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287FFED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1604E4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6A7E14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B84EC8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CC5992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3394" w:type="dxa"/>
            <w:vAlign w:val="center"/>
            <w:hideMark/>
          </w:tcPr>
          <w:p w14:paraId="2391F2A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criogênico, 1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3117611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68F56AF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A14EF2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02877B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6E2C3E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572394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3394" w:type="dxa"/>
            <w:vAlign w:val="center"/>
            <w:hideMark/>
          </w:tcPr>
          <w:p w14:paraId="2A0D33C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criogênico, 2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78886A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2BA380D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A9200A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E301D5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397713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481AC2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3394" w:type="dxa"/>
            <w:vAlign w:val="center"/>
            <w:hideMark/>
          </w:tcPr>
          <w:p w14:paraId="1DB692C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Seringa de 1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, tipo para insulina</w:t>
            </w:r>
          </w:p>
        </w:tc>
        <w:tc>
          <w:tcPr>
            <w:tcW w:w="823" w:type="dxa"/>
            <w:vAlign w:val="center"/>
            <w:hideMark/>
          </w:tcPr>
          <w:p w14:paraId="002A067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559" w:type="dxa"/>
            <w:noWrap/>
            <w:vAlign w:val="center"/>
            <w:hideMark/>
          </w:tcPr>
          <w:p w14:paraId="67467D6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645125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2DE420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CAB8C1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3DE214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3394" w:type="dxa"/>
            <w:vAlign w:val="center"/>
            <w:hideMark/>
          </w:tcPr>
          <w:p w14:paraId="2BAF1DF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Seringa descartável (2-6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823" w:type="dxa"/>
            <w:vAlign w:val="center"/>
            <w:hideMark/>
          </w:tcPr>
          <w:p w14:paraId="781CAAA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7ECB850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0BC79D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99C4FB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6DB337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C2AB31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3394" w:type="dxa"/>
            <w:vAlign w:val="center"/>
            <w:hideMark/>
          </w:tcPr>
          <w:p w14:paraId="2D26281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Seringa 5 ml</w:t>
            </w:r>
          </w:p>
        </w:tc>
        <w:tc>
          <w:tcPr>
            <w:tcW w:w="823" w:type="dxa"/>
            <w:vAlign w:val="center"/>
            <w:hideMark/>
          </w:tcPr>
          <w:p w14:paraId="2BDBE76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2E49EC8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502FBA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E7C6FD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4B211D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2533EF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3394" w:type="dxa"/>
            <w:vAlign w:val="center"/>
            <w:hideMark/>
          </w:tcPr>
          <w:p w14:paraId="2EA2790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Seringa 3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com agulha</w:t>
            </w:r>
          </w:p>
        </w:tc>
        <w:tc>
          <w:tcPr>
            <w:tcW w:w="823" w:type="dxa"/>
            <w:vAlign w:val="center"/>
            <w:hideMark/>
          </w:tcPr>
          <w:p w14:paraId="2A0A7E8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6FA3D6B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B71A2C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17F1E1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A97EAB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E62B1B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3394" w:type="dxa"/>
            <w:vAlign w:val="center"/>
            <w:hideMark/>
          </w:tcPr>
          <w:p w14:paraId="7B482F5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Seringa hipodérmica 3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sem agulha</w:t>
            </w:r>
          </w:p>
        </w:tc>
        <w:tc>
          <w:tcPr>
            <w:tcW w:w="823" w:type="dxa"/>
            <w:vAlign w:val="center"/>
            <w:hideMark/>
          </w:tcPr>
          <w:p w14:paraId="1B4DEEF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17D5F81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69C3DB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2F84C6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B03EC1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114BD3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3394" w:type="dxa"/>
            <w:vAlign w:val="center"/>
            <w:hideMark/>
          </w:tcPr>
          <w:p w14:paraId="03AB79C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Seringa 20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com agulha</w:t>
            </w:r>
          </w:p>
        </w:tc>
        <w:tc>
          <w:tcPr>
            <w:tcW w:w="823" w:type="dxa"/>
            <w:vAlign w:val="center"/>
            <w:hideMark/>
          </w:tcPr>
          <w:p w14:paraId="646C048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1EF7DB6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5A90F7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1C3AE5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C14C74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085EA5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36</w:t>
            </w:r>
          </w:p>
        </w:tc>
        <w:tc>
          <w:tcPr>
            <w:tcW w:w="3394" w:type="dxa"/>
            <w:vAlign w:val="center"/>
            <w:hideMark/>
          </w:tcPr>
          <w:p w14:paraId="3C7B718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Seringa 10 ml</w:t>
            </w:r>
          </w:p>
        </w:tc>
        <w:tc>
          <w:tcPr>
            <w:tcW w:w="823" w:type="dxa"/>
            <w:vAlign w:val="center"/>
            <w:hideMark/>
          </w:tcPr>
          <w:p w14:paraId="66BF402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520CF88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6A71D2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41606E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F4DB33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42DE17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3394" w:type="dxa"/>
            <w:vAlign w:val="center"/>
            <w:hideMark/>
          </w:tcPr>
          <w:p w14:paraId="6F2E35B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Seringa 20 ml</w:t>
            </w:r>
          </w:p>
        </w:tc>
        <w:tc>
          <w:tcPr>
            <w:tcW w:w="823" w:type="dxa"/>
            <w:vAlign w:val="center"/>
            <w:hideMark/>
          </w:tcPr>
          <w:p w14:paraId="5ACF97E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690269E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CA4C01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76A2D0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C59CB5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2E0363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3394" w:type="dxa"/>
            <w:vAlign w:val="center"/>
            <w:hideMark/>
          </w:tcPr>
          <w:p w14:paraId="0E8DC16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Lenço/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t-BR"/>
              </w:rPr>
              <w:t>wiper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t-BR"/>
              </w:rPr>
              <w:t xml:space="preserve"> 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sem fiapos</w:t>
            </w:r>
          </w:p>
        </w:tc>
        <w:tc>
          <w:tcPr>
            <w:tcW w:w="823" w:type="dxa"/>
            <w:vAlign w:val="center"/>
            <w:hideMark/>
          </w:tcPr>
          <w:p w14:paraId="6F40DD2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2670705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2919CC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73877D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628964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BD9D15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3394" w:type="dxa"/>
            <w:vAlign w:val="center"/>
            <w:hideMark/>
          </w:tcPr>
          <w:p w14:paraId="0E400A0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Vials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de HPLC com inserção (volume reduzido)</w:t>
            </w:r>
          </w:p>
        </w:tc>
        <w:tc>
          <w:tcPr>
            <w:tcW w:w="823" w:type="dxa"/>
            <w:vAlign w:val="center"/>
            <w:hideMark/>
          </w:tcPr>
          <w:p w14:paraId="49CDCD8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559" w:type="dxa"/>
            <w:noWrap/>
            <w:vAlign w:val="center"/>
            <w:hideMark/>
          </w:tcPr>
          <w:p w14:paraId="775311E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8E2C4E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EA8A0A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5C79F5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E1A6A6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3394" w:type="dxa"/>
            <w:vAlign w:val="center"/>
            <w:hideMark/>
          </w:tcPr>
          <w:p w14:paraId="166FC86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Vials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HPLC, com tampa e septo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pré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-cortado</w:t>
            </w:r>
          </w:p>
        </w:tc>
        <w:tc>
          <w:tcPr>
            <w:tcW w:w="823" w:type="dxa"/>
            <w:vAlign w:val="center"/>
            <w:hideMark/>
          </w:tcPr>
          <w:p w14:paraId="5967137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5000</w:t>
            </w:r>
          </w:p>
        </w:tc>
        <w:tc>
          <w:tcPr>
            <w:tcW w:w="1559" w:type="dxa"/>
            <w:noWrap/>
            <w:vAlign w:val="center"/>
            <w:hideMark/>
          </w:tcPr>
          <w:p w14:paraId="6262C17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1A4575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8B729B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616530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639378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3394" w:type="dxa"/>
            <w:vAlign w:val="center"/>
            <w:hideMark/>
          </w:tcPr>
          <w:p w14:paraId="2C14AA9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Anel de aço inox com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mufa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50 mm</w:t>
            </w:r>
          </w:p>
        </w:tc>
        <w:tc>
          <w:tcPr>
            <w:tcW w:w="823" w:type="dxa"/>
            <w:vAlign w:val="center"/>
            <w:hideMark/>
          </w:tcPr>
          <w:p w14:paraId="2FE1F7B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0AE9078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8D30DB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3C2752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56C5E5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17C344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3394" w:type="dxa"/>
            <w:vAlign w:val="center"/>
            <w:hideMark/>
          </w:tcPr>
          <w:p w14:paraId="44EE172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Anel de aço inox com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mufa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100 mm</w:t>
            </w:r>
          </w:p>
        </w:tc>
        <w:tc>
          <w:tcPr>
            <w:tcW w:w="823" w:type="dxa"/>
            <w:vAlign w:val="center"/>
            <w:hideMark/>
          </w:tcPr>
          <w:p w14:paraId="7CFB162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478D879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B98B41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C42456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9E5FB5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96C5A7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3394" w:type="dxa"/>
            <w:vAlign w:val="center"/>
            <w:hideMark/>
          </w:tcPr>
          <w:p w14:paraId="5CD6804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Bandeja para pipetas – 4 compartimentos</w:t>
            </w:r>
          </w:p>
        </w:tc>
        <w:tc>
          <w:tcPr>
            <w:tcW w:w="823" w:type="dxa"/>
            <w:vAlign w:val="center"/>
            <w:hideMark/>
          </w:tcPr>
          <w:p w14:paraId="2C04453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3ADF260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DC250A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29CF16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9C54F8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6E853A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3394" w:type="dxa"/>
            <w:vAlign w:val="center"/>
            <w:hideMark/>
          </w:tcPr>
          <w:p w14:paraId="39DD409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Bandeja para pipetas – 9 compartimentos</w:t>
            </w:r>
          </w:p>
        </w:tc>
        <w:tc>
          <w:tcPr>
            <w:tcW w:w="823" w:type="dxa"/>
            <w:vAlign w:val="center"/>
            <w:hideMark/>
          </w:tcPr>
          <w:p w14:paraId="78030F4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286D383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11326F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6C9E0E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9D48FB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18935B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3394" w:type="dxa"/>
            <w:vAlign w:val="center"/>
            <w:hideMark/>
          </w:tcPr>
          <w:p w14:paraId="47DEFD2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Caixa gaveteiro tipo Bin (4 L)</w:t>
            </w:r>
          </w:p>
        </w:tc>
        <w:tc>
          <w:tcPr>
            <w:tcW w:w="823" w:type="dxa"/>
            <w:vAlign w:val="center"/>
            <w:hideMark/>
          </w:tcPr>
          <w:p w14:paraId="50A3BB0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344AFC4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BBCBF2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2FE1E1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88F6E8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A9B923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3394" w:type="dxa"/>
            <w:vAlign w:val="center"/>
            <w:hideMark/>
          </w:tcPr>
          <w:p w14:paraId="6D451D5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Caixa gaveteiro tipo Bin (13 L)</w:t>
            </w:r>
          </w:p>
        </w:tc>
        <w:tc>
          <w:tcPr>
            <w:tcW w:w="823" w:type="dxa"/>
            <w:vAlign w:val="center"/>
            <w:hideMark/>
          </w:tcPr>
          <w:p w14:paraId="0F82CEB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2841537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D2BE84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87AC2C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8DFB9C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18F7B1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3394" w:type="dxa"/>
            <w:vAlign w:val="center"/>
            <w:hideMark/>
          </w:tcPr>
          <w:p w14:paraId="187229F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Caixa gaveteiro tipo Bin (26 L)</w:t>
            </w:r>
          </w:p>
        </w:tc>
        <w:tc>
          <w:tcPr>
            <w:tcW w:w="823" w:type="dxa"/>
            <w:vAlign w:val="center"/>
            <w:hideMark/>
          </w:tcPr>
          <w:p w14:paraId="6EC02E2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DB6CCE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8DFB22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8C356A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E7101C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9E7E0B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3394" w:type="dxa"/>
            <w:vAlign w:val="center"/>
            <w:hideMark/>
          </w:tcPr>
          <w:p w14:paraId="1FA48DE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Cesto para transporte de frascos de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6E453A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068D4E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0BC691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718D35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36FC14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05F1B1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3394" w:type="dxa"/>
            <w:vAlign w:val="center"/>
            <w:hideMark/>
          </w:tcPr>
          <w:p w14:paraId="2B9E563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Cesto para transporte de frascos de 2,5 L</w:t>
            </w:r>
          </w:p>
        </w:tc>
        <w:tc>
          <w:tcPr>
            <w:tcW w:w="823" w:type="dxa"/>
            <w:vAlign w:val="center"/>
            <w:hideMark/>
          </w:tcPr>
          <w:p w14:paraId="745E12D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58055E9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10A2E8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EA6E36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4A7A0F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155FA1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3394" w:type="dxa"/>
            <w:vAlign w:val="center"/>
            <w:hideMark/>
          </w:tcPr>
          <w:p w14:paraId="4A66FFA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Cesto para transporte de frascos de 4 L</w:t>
            </w:r>
          </w:p>
        </w:tc>
        <w:tc>
          <w:tcPr>
            <w:tcW w:w="823" w:type="dxa"/>
            <w:vAlign w:val="center"/>
            <w:hideMark/>
          </w:tcPr>
          <w:p w14:paraId="6C6B246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655F6E3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914DB4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02CE05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F2A4DA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DD69CB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3394" w:type="dxa"/>
            <w:vAlign w:val="center"/>
            <w:hideMark/>
          </w:tcPr>
          <w:p w14:paraId="7D45E2E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Espátula em aço inox com cabo em polipropileno e ponta reta</w:t>
            </w:r>
          </w:p>
        </w:tc>
        <w:tc>
          <w:tcPr>
            <w:tcW w:w="823" w:type="dxa"/>
            <w:vAlign w:val="center"/>
            <w:hideMark/>
          </w:tcPr>
          <w:p w14:paraId="7D1F99E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405F294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DBF48D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E5ADF0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03CEA3C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4F2F30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3394" w:type="dxa"/>
            <w:vAlign w:val="center"/>
            <w:hideMark/>
          </w:tcPr>
          <w:p w14:paraId="57619C0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Espátula em aço inox com cabo em polipropileno e ponta redonda</w:t>
            </w:r>
          </w:p>
        </w:tc>
        <w:tc>
          <w:tcPr>
            <w:tcW w:w="823" w:type="dxa"/>
            <w:vAlign w:val="center"/>
            <w:hideMark/>
          </w:tcPr>
          <w:p w14:paraId="56AB552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05EF14F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002E52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A1DB1D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D0C779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BF2EB2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3394" w:type="dxa"/>
            <w:vAlign w:val="center"/>
            <w:hideMark/>
          </w:tcPr>
          <w:p w14:paraId="6134B5B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Suporte para filme plástico (tipo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Parafilm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M)</w:t>
            </w:r>
          </w:p>
        </w:tc>
        <w:tc>
          <w:tcPr>
            <w:tcW w:w="823" w:type="dxa"/>
            <w:vAlign w:val="center"/>
            <w:hideMark/>
          </w:tcPr>
          <w:p w14:paraId="3E2B6F3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559" w:type="dxa"/>
            <w:noWrap/>
            <w:vAlign w:val="center"/>
            <w:hideMark/>
          </w:tcPr>
          <w:p w14:paraId="23566CF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5A0283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C33749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49F3D6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25467D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3394" w:type="dxa"/>
            <w:vAlign w:val="center"/>
            <w:hideMark/>
          </w:tcPr>
          <w:p w14:paraId="2B20A5B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tipo tenaz para cadinho 25 cm</w:t>
            </w:r>
          </w:p>
        </w:tc>
        <w:tc>
          <w:tcPr>
            <w:tcW w:w="823" w:type="dxa"/>
            <w:vAlign w:val="center"/>
            <w:hideMark/>
          </w:tcPr>
          <w:p w14:paraId="1E81DB4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76C7354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353948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875A74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37E9C8C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C02DCB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3394" w:type="dxa"/>
            <w:vAlign w:val="center"/>
            <w:hideMark/>
          </w:tcPr>
          <w:p w14:paraId="24D9A1C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tipo tenaz para cadinho 40 cm</w:t>
            </w:r>
          </w:p>
        </w:tc>
        <w:tc>
          <w:tcPr>
            <w:tcW w:w="823" w:type="dxa"/>
            <w:vAlign w:val="center"/>
            <w:hideMark/>
          </w:tcPr>
          <w:p w14:paraId="4C205EE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10E6B22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D4DF01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1FF8AD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1CD16E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B48680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3394" w:type="dxa"/>
            <w:vAlign w:val="center"/>
            <w:hideMark/>
          </w:tcPr>
          <w:p w14:paraId="43CC6F3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Suporte (estante) para tubos de ensaio (60 tubos)</w:t>
            </w:r>
          </w:p>
        </w:tc>
        <w:tc>
          <w:tcPr>
            <w:tcW w:w="823" w:type="dxa"/>
            <w:vAlign w:val="center"/>
            <w:hideMark/>
          </w:tcPr>
          <w:p w14:paraId="14D4AA6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3D99846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5789D6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F3C928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5A7BBD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3F4BD6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57</w:t>
            </w:r>
          </w:p>
        </w:tc>
        <w:tc>
          <w:tcPr>
            <w:tcW w:w="3394" w:type="dxa"/>
            <w:vAlign w:val="center"/>
            <w:hideMark/>
          </w:tcPr>
          <w:p w14:paraId="5F12698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Suporte (estante) para tubos de ensaio (90 tubos)</w:t>
            </w:r>
          </w:p>
        </w:tc>
        <w:tc>
          <w:tcPr>
            <w:tcW w:w="823" w:type="dxa"/>
            <w:vAlign w:val="center"/>
            <w:hideMark/>
          </w:tcPr>
          <w:p w14:paraId="6066ABA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5DD49A3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02DC4D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6E54C2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C8072D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EDE76C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3394" w:type="dxa"/>
            <w:vAlign w:val="center"/>
            <w:hideMark/>
          </w:tcPr>
          <w:p w14:paraId="1780AA2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Suporte universal (45 cm x 10 mm)</w:t>
            </w:r>
          </w:p>
        </w:tc>
        <w:tc>
          <w:tcPr>
            <w:tcW w:w="823" w:type="dxa"/>
            <w:vAlign w:val="center"/>
            <w:hideMark/>
          </w:tcPr>
          <w:p w14:paraId="3E0C9AE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049F1F4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77FC9B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C69A8E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F9F7C3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6C2774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3394" w:type="dxa"/>
            <w:vAlign w:val="center"/>
            <w:hideMark/>
          </w:tcPr>
          <w:p w14:paraId="3D678CA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Suporte universal (75 cm x 12 mm)</w:t>
            </w:r>
          </w:p>
        </w:tc>
        <w:tc>
          <w:tcPr>
            <w:tcW w:w="823" w:type="dxa"/>
            <w:vAlign w:val="center"/>
            <w:hideMark/>
          </w:tcPr>
          <w:p w14:paraId="488CC28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5B0FB4A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492049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0C70F3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BECA6A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46CE52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3394" w:type="dxa"/>
            <w:vAlign w:val="center"/>
            <w:hideMark/>
          </w:tcPr>
          <w:p w14:paraId="20A0ED1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Bastão pescador para barra magnética</w:t>
            </w:r>
          </w:p>
        </w:tc>
        <w:tc>
          <w:tcPr>
            <w:tcW w:w="823" w:type="dxa"/>
            <w:vAlign w:val="center"/>
            <w:hideMark/>
          </w:tcPr>
          <w:p w14:paraId="58B3EA2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92B153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4D8BAA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97DD8A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0A1608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0C137E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3394" w:type="dxa"/>
            <w:vAlign w:val="center"/>
            <w:hideMark/>
          </w:tcPr>
          <w:p w14:paraId="5F8B0C8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Espátula de plástico 150 mm</w:t>
            </w:r>
          </w:p>
        </w:tc>
        <w:tc>
          <w:tcPr>
            <w:tcW w:w="823" w:type="dxa"/>
            <w:vAlign w:val="center"/>
            <w:hideMark/>
          </w:tcPr>
          <w:p w14:paraId="746BC4C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6568A8D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B21E98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F093E2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B8D6C2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A006A5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3394" w:type="dxa"/>
            <w:vAlign w:val="center"/>
            <w:hideMark/>
          </w:tcPr>
          <w:p w14:paraId="0CFC62E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Espátula dupla com colher em aço inox 150 mm</w:t>
            </w:r>
          </w:p>
        </w:tc>
        <w:tc>
          <w:tcPr>
            <w:tcW w:w="823" w:type="dxa"/>
            <w:vAlign w:val="center"/>
            <w:hideMark/>
          </w:tcPr>
          <w:p w14:paraId="496AE7F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2551195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344E93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5B3533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139A5A7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B7C07E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3394" w:type="dxa"/>
            <w:vAlign w:val="center"/>
            <w:hideMark/>
          </w:tcPr>
          <w:p w14:paraId="60476DF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Espátula para pesagem em aço inox tipo canaleta 120 mm</w:t>
            </w:r>
          </w:p>
        </w:tc>
        <w:tc>
          <w:tcPr>
            <w:tcW w:w="823" w:type="dxa"/>
            <w:vAlign w:val="center"/>
            <w:hideMark/>
          </w:tcPr>
          <w:p w14:paraId="2F51DF1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72E7563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FE3109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500228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912E70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B94E73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3394" w:type="dxa"/>
            <w:vAlign w:val="center"/>
            <w:hideMark/>
          </w:tcPr>
          <w:p w14:paraId="1A77D46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Microespátula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com colher em aço inox 150 mm</w:t>
            </w:r>
          </w:p>
        </w:tc>
        <w:tc>
          <w:tcPr>
            <w:tcW w:w="823" w:type="dxa"/>
            <w:vAlign w:val="center"/>
            <w:hideMark/>
          </w:tcPr>
          <w:p w14:paraId="021BFA3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065BBDF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892A0D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C31443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6381FB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5368E0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3394" w:type="dxa"/>
            <w:vAlign w:val="center"/>
            <w:hideMark/>
          </w:tcPr>
          <w:p w14:paraId="08F468A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Pera de borracha</w:t>
            </w:r>
          </w:p>
        </w:tc>
        <w:tc>
          <w:tcPr>
            <w:tcW w:w="823" w:type="dxa"/>
            <w:vAlign w:val="center"/>
            <w:hideMark/>
          </w:tcPr>
          <w:p w14:paraId="235ED58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0831C11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7C908D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664DB2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C06251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22674E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3394" w:type="dxa"/>
            <w:vAlign w:val="center"/>
            <w:hideMark/>
          </w:tcPr>
          <w:p w14:paraId="185F49D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de bico chato</w:t>
            </w:r>
          </w:p>
        </w:tc>
        <w:tc>
          <w:tcPr>
            <w:tcW w:w="823" w:type="dxa"/>
            <w:vAlign w:val="center"/>
            <w:hideMark/>
          </w:tcPr>
          <w:p w14:paraId="1AA1608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3C000EB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940E10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906FC3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D810E8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2CABBA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3394" w:type="dxa"/>
            <w:vAlign w:val="center"/>
            <w:hideMark/>
          </w:tcPr>
          <w:p w14:paraId="268DC1A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de ponta curva</w:t>
            </w:r>
          </w:p>
        </w:tc>
        <w:tc>
          <w:tcPr>
            <w:tcW w:w="823" w:type="dxa"/>
            <w:vAlign w:val="center"/>
            <w:hideMark/>
          </w:tcPr>
          <w:p w14:paraId="274AB7D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787AEE2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F0FE3A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F9C62A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28CFC87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B17794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3394" w:type="dxa"/>
            <w:vAlign w:val="center"/>
            <w:hideMark/>
          </w:tcPr>
          <w:p w14:paraId="1E93AA9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de ponta serrilhada</w:t>
            </w:r>
          </w:p>
        </w:tc>
        <w:tc>
          <w:tcPr>
            <w:tcW w:w="823" w:type="dxa"/>
            <w:vAlign w:val="center"/>
            <w:hideMark/>
          </w:tcPr>
          <w:p w14:paraId="22039BD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7F7DBFF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63B8B6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55ED7E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111BE7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5C0917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3394" w:type="dxa"/>
            <w:vAlign w:val="center"/>
            <w:hideMark/>
          </w:tcPr>
          <w:p w14:paraId="1798AA6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tipo relojoeiro</w:t>
            </w:r>
          </w:p>
        </w:tc>
        <w:tc>
          <w:tcPr>
            <w:tcW w:w="823" w:type="dxa"/>
            <w:vAlign w:val="center"/>
            <w:hideMark/>
          </w:tcPr>
          <w:p w14:paraId="56CE82D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4B7E663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B25473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029078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E19334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0C5F7D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3394" w:type="dxa"/>
            <w:vAlign w:val="center"/>
            <w:hideMark/>
          </w:tcPr>
          <w:p w14:paraId="55C2982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plástica</w:t>
            </w:r>
          </w:p>
        </w:tc>
        <w:tc>
          <w:tcPr>
            <w:tcW w:w="823" w:type="dxa"/>
            <w:vAlign w:val="center"/>
            <w:hideMark/>
          </w:tcPr>
          <w:p w14:paraId="2553D2D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1BCCE85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EFAF23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C2B8EF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A4D449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7D24EC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3394" w:type="dxa"/>
            <w:vAlign w:val="center"/>
            <w:hideMark/>
          </w:tcPr>
          <w:p w14:paraId="1A2492B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dupla para bureta, 60 mm</w:t>
            </w:r>
          </w:p>
        </w:tc>
        <w:tc>
          <w:tcPr>
            <w:tcW w:w="823" w:type="dxa"/>
            <w:vAlign w:val="center"/>
            <w:hideMark/>
          </w:tcPr>
          <w:p w14:paraId="081D445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65D3402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450F8B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163BCC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C77FC5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14DB7E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3394" w:type="dxa"/>
            <w:vAlign w:val="center"/>
            <w:hideMark/>
          </w:tcPr>
          <w:p w14:paraId="6D94678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Pinça para bureta, abertura 25 mm</w:t>
            </w:r>
          </w:p>
        </w:tc>
        <w:tc>
          <w:tcPr>
            <w:tcW w:w="823" w:type="dxa"/>
            <w:vAlign w:val="center"/>
            <w:hideMark/>
          </w:tcPr>
          <w:p w14:paraId="7154FE6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64B1D85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5C570B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282515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19D22C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2180E6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3394" w:type="dxa"/>
            <w:vAlign w:val="center"/>
            <w:hideMark/>
          </w:tcPr>
          <w:p w14:paraId="7FEDC18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Pisseta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graduada</w:t>
            </w:r>
          </w:p>
        </w:tc>
        <w:tc>
          <w:tcPr>
            <w:tcW w:w="823" w:type="dxa"/>
            <w:vAlign w:val="center"/>
            <w:hideMark/>
          </w:tcPr>
          <w:p w14:paraId="5F278EF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0BA4C26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AC271A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08F397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DBDB8E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44B6F1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3394" w:type="dxa"/>
            <w:vAlign w:val="center"/>
            <w:hideMark/>
          </w:tcPr>
          <w:p w14:paraId="0CF11CB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Plataforma elevatória tipo Jack</w:t>
            </w:r>
          </w:p>
        </w:tc>
        <w:tc>
          <w:tcPr>
            <w:tcW w:w="823" w:type="dxa"/>
            <w:vAlign w:val="center"/>
            <w:hideMark/>
          </w:tcPr>
          <w:p w14:paraId="18E8942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2D88113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809CA5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AA4578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C08F67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26BED0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3394" w:type="dxa"/>
            <w:vAlign w:val="center"/>
            <w:hideMark/>
          </w:tcPr>
          <w:p w14:paraId="117127B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Rack (estante) dupla face para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Microtubos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3D0C9EB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559" w:type="dxa"/>
            <w:noWrap/>
            <w:vAlign w:val="center"/>
            <w:hideMark/>
          </w:tcPr>
          <w:p w14:paraId="2830F3F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90D559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F99D83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7E93BC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EE44BC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3394" w:type="dxa"/>
            <w:vAlign w:val="center"/>
            <w:hideMark/>
          </w:tcPr>
          <w:p w14:paraId="373C30F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Rack (estante) dupla face para tubos 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B2F507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559" w:type="dxa"/>
            <w:noWrap/>
            <w:vAlign w:val="center"/>
            <w:hideMark/>
          </w:tcPr>
          <w:p w14:paraId="012FC6A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0E5603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AAA075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37DB2F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9A76AA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3394" w:type="dxa"/>
            <w:vAlign w:val="center"/>
            <w:hideMark/>
          </w:tcPr>
          <w:p w14:paraId="46B3FFB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Rack (estante) retangular 4 faces para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microtubos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e tubos 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267078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559" w:type="dxa"/>
            <w:noWrap/>
            <w:vAlign w:val="center"/>
            <w:hideMark/>
          </w:tcPr>
          <w:p w14:paraId="4597E28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EDA999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342C49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2CC0ED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848B30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78</w:t>
            </w:r>
          </w:p>
        </w:tc>
        <w:tc>
          <w:tcPr>
            <w:tcW w:w="3394" w:type="dxa"/>
            <w:vAlign w:val="center"/>
            <w:hideMark/>
          </w:tcPr>
          <w:p w14:paraId="280A18C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Rack para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vials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de 2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666157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559" w:type="dxa"/>
            <w:noWrap/>
            <w:vAlign w:val="center"/>
            <w:hideMark/>
          </w:tcPr>
          <w:p w14:paraId="35532BE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2C858C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B02503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34CCF7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963402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3394" w:type="dxa"/>
            <w:vAlign w:val="center"/>
            <w:hideMark/>
          </w:tcPr>
          <w:p w14:paraId="6FA1DCE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Suporte giratório para pipetas</w:t>
            </w:r>
          </w:p>
        </w:tc>
        <w:tc>
          <w:tcPr>
            <w:tcW w:w="823" w:type="dxa"/>
            <w:vAlign w:val="center"/>
            <w:hideMark/>
          </w:tcPr>
          <w:p w14:paraId="2FA4931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559" w:type="dxa"/>
            <w:noWrap/>
            <w:vAlign w:val="center"/>
            <w:hideMark/>
          </w:tcPr>
          <w:p w14:paraId="57AC897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12364F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5E5286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5CAEE2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4C0CBD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3394" w:type="dxa"/>
            <w:vAlign w:val="center"/>
            <w:hideMark/>
          </w:tcPr>
          <w:p w14:paraId="73590AB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Tetina de borracha ou silicone</w:t>
            </w:r>
          </w:p>
        </w:tc>
        <w:tc>
          <w:tcPr>
            <w:tcW w:w="823" w:type="dxa"/>
            <w:vAlign w:val="center"/>
            <w:hideMark/>
          </w:tcPr>
          <w:p w14:paraId="39FCE1E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35722EA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874CC8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3D74DA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C9991EC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5207E3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3394" w:type="dxa"/>
            <w:vAlign w:val="center"/>
            <w:hideMark/>
          </w:tcPr>
          <w:p w14:paraId="3A9677C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Alicate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deslacrador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397D831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1F1B61A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87EEC8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845109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117F7E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A7FDF4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3394" w:type="dxa"/>
            <w:vAlign w:val="center"/>
            <w:hideMark/>
          </w:tcPr>
          <w:p w14:paraId="56A4964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Seringa de vidro, ponta metal,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luer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lock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, 10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3252D0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443E4C1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4F9548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C2C0DB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1C8B77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F8F515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3394" w:type="dxa"/>
            <w:vAlign w:val="center"/>
            <w:hideMark/>
          </w:tcPr>
          <w:p w14:paraId="1830FF7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Estante em inox para 60 tubos de ensaio</w:t>
            </w:r>
          </w:p>
        </w:tc>
        <w:tc>
          <w:tcPr>
            <w:tcW w:w="823" w:type="dxa"/>
            <w:vAlign w:val="center"/>
            <w:hideMark/>
          </w:tcPr>
          <w:p w14:paraId="2AC5C8F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0BC20F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C49B77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31117B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0456DE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C32B86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84</w:t>
            </w:r>
          </w:p>
        </w:tc>
        <w:tc>
          <w:tcPr>
            <w:tcW w:w="3394" w:type="dxa"/>
            <w:vAlign w:val="center"/>
            <w:hideMark/>
          </w:tcPr>
          <w:p w14:paraId="10D92A6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Estante em inox para 24 tubos de ensaio</w:t>
            </w:r>
          </w:p>
        </w:tc>
        <w:tc>
          <w:tcPr>
            <w:tcW w:w="823" w:type="dxa"/>
            <w:vAlign w:val="center"/>
            <w:hideMark/>
          </w:tcPr>
          <w:p w14:paraId="763C79D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91BF6A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0D335E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1C867D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20973F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29681A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3394" w:type="dxa"/>
            <w:vAlign w:val="center"/>
            <w:hideMark/>
          </w:tcPr>
          <w:p w14:paraId="32F9914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Estante em inox para 12 tubos de ensaio</w:t>
            </w:r>
          </w:p>
        </w:tc>
        <w:tc>
          <w:tcPr>
            <w:tcW w:w="823" w:type="dxa"/>
            <w:vAlign w:val="center"/>
            <w:hideMark/>
          </w:tcPr>
          <w:p w14:paraId="2B46486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425540F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BA9DC2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E6FCC9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CCB92E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FB25E6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3394" w:type="dxa"/>
            <w:vAlign w:val="center"/>
            <w:hideMark/>
          </w:tcPr>
          <w:p w14:paraId="78DDBFC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Garrafão alça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autoclavável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pp 8L</w:t>
            </w:r>
          </w:p>
        </w:tc>
        <w:tc>
          <w:tcPr>
            <w:tcW w:w="823" w:type="dxa"/>
            <w:vAlign w:val="center"/>
            <w:hideMark/>
          </w:tcPr>
          <w:p w14:paraId="6E1263F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293047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D1FAA3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2D2D1E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9D0785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8CFE88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3394" w:type="dxa"/>
            <w:vAlign w:val="center"/>
            <w:hideMark/>
          </w:tcPr>
          <w:p w14:paraId="6B198FB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Bandejas em PE 7,5 L</w:t>
            </w:r>
          </w:p>
        </w:tc>
        <w:tc>
          <w:tcPr>
            <w:tcW w:w="823" w:type="dxa"/>
            <w:vAlign w:val="center"/>
            <w:hideMark/>
          </w:tcPr>
          <w:p w14:paraId="4EAB2A2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177E2AA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E376A3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EF28B2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748C11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DA44A3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3394" w:type="dxa"/>
            <w:vAlign w:val="center"/>
            <w:hideMark/>
          </w:tcPr>
          <w:p w14:paraId="42BEE4F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Bandejas em PE 2,5 L</w:t>
            </w:r>
          </w:p>
        </w:tc>
        <w:tc>
          <w:tcPr>
            <w:tcW w:w="823" w:type="dxa"/>
            <w:vAlign w:val="center"/>
            <w:hideMark/>
          </w:tcPr>
          <w:p w14:paraId="30627CD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4D5B5AC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4B58F7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44E34B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807941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D25930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3394" w:type="dxa"/>
            <w:vAlign w:val="center"/>
            <w:hideMark/>
          </w:tcPr>
          <w:p w14:paraId="358692C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Bandejas em PE 6,0 L</w:t>
            </w:r>
          </w:p>
        </w:tc>
        <w:tc>
          <w:tcPr>
            <w:tcW w:w="823" w:type="dxa"/>
            <w:vAlign w:val="center"/>
            <w:hideMark/>
          </w:tcPr>
          <w:p w14:paraId="06B9428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559" w:type="dxa"/>
            <w:noWrap/>
            <w:vAlign w:val="center"/>
            <w:hideMark/>
          </w:tcPr>
          <w:p w14:paraId="0C39AF9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C116A4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326F16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9A48B9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5C945D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3394" w:type="dxa"/>
            <w:vAlign w:val="center"/>
            <w:hideMark/>
          </w:tcPr>
          <w:p w14:paraId="1589433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5000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DE557D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7267EDC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81901B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263CC6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CDF943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88BFE5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3394" w:type="dxa"/>
            <w:vAlign w:val="center"/>
            <w:hideMark/>
          </w:tcPr>
          <w:p w14:paraId="0DA92B5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250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DEFA8D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E2D98A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645EFE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4110AF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A05B8C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845783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3394" w:type="dxa"/>
            <w:vAlign w:val="center"/>
            <w:hideMark/>
          </w:tcPr>
          <w:p w14:paraId="7C22A4F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82035C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66BD0D2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DAE91E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D1FDA4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612FC5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88E5BC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3394" w:type="dxa"/>
            <w:vAlign w:val="center"/>
            <w:hideMark/>
          </w:tcPr>
          <w:p w14:paraId="586283B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2000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664728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668982F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472689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42261E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4806437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1666CC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3394" w:type="dxa"/>
            <w:vAlign w:val="center"/>
            <w:hideMark/>
          </w:tcPr>
          <w:p w14:paraId="5168788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âmbar 5000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FE458D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6630085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BBCD73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698F1C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B75424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C9174D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95</w:t>
            </w:r>
          </w:p>
        </w:tc>
        <w:tc>
          <w:tcPr>
            <w:tcW w:w="3394" w:type="dxa"/>
            <w:vAlign w:val="center"/>
            <w:hideMark/>
          </w:tcPr>
          <w:p w14:paraId="633B197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âmbar 250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6D4BE1A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131BFF0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413C76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5D65B3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13B038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C7CE27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96</w:t>
            </w:r>
          </w:p>
        </w:tc>
        <w:tc>
          <w:tcPr>
            <w:tcW w:w="3394" w:type="dxa"/>
            <w:vAlign w:val="center"/>
            <w:hideMark/>
          </w:tcPr>
          <w:p w14:paraId="7E095B1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âmbar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7F8ED2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33AEE2F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746B40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E74C87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A4CC6E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0030F6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97</w:t>
            </w:r>
          </w:p>
        </w:tc>
        <w:tc>
          <w:tcPr>
            <w:tcW w:w="3394" w:type="dxa"/>
            <w:vAlign w:val="center"/>
            <w:hideMark/>
          </w:tcPr>
          <w:p w14:paraId="1072FFF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âmbar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6D38CB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1CCB11A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572085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2B664F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F3D5457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E775DF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98</w:t>
            </w:r>
          </w:p>
        </w:tc>
        <w:tc>
          <w:tcPr>
            <w:tcW w:w="3394" w:type="dxa"/>
            <w:vAlign w:val="center"/>
            <w:hideMark/>
          </w:tcPr>
          <w:p w14:paraId="545CA29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âmbar 2000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0D6A79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45E7334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1A7F1B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2F07EC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9469F3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ED96D9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99</w:t>
            </w:r>
          </w:p>
        </w:tc>
        <w:tc>
          <w:tcPr>
            <w:tcW w:w="3394" w:type="dxa"/>
            <w:vAlign w:val="center"/>
            <w:hideMark/>
          </w:tcPr>
          <w:p w14:paraId="764E077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Tampa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gl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45 em pp com 2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saidas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gl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14</w:t>
            </w:r>
          </w:p>
        </w:tc>
        <w:tc>
          <w:tcPr>
            <w:tcW w:w="823" w:type="dxa"/>
            <w:vAlign w:val="center"/>
            <w:hideMark/>
          </w:tcPr>
          <w:p w14:paraId="2A81DA6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52A5018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F387CE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51C49C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B04DA1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55812D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3394" w:type="dxa"/>
            <w:vAlign w:val="center"/>
            <w:hideMark/>
          </w:tcPr>
          <w:p w14:paraId="7ED6E17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Anéis de chumbo 48 mm</w:t>
            </w:r>
          </w:p>
        </w:tc>
        <w:tc>
          <w:tcPr>
            <w:tcW w:w="823" w:type="dxa"/>
            <w:vAlign w:val="center"/>
            <w:hideMark/>
          </w:tcPr>
          <w:p w14:paraId="1493C67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4321E1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1B96E8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1D171B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B9A7E3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43079C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101</w:t>
            </w:r>
          </w:p>
        </w:tc>
        <w:tc>
          <w:tcPr>
            <w:tcW w:w="3394" w:type="dxa"/>
            <w:vAlign w:val="center"/>
            <w:hideMark/>
          </w:tcPr>
          <w:p w14:paraId="02BDA39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Anéis de chumbo 56 mm</w:t>
            </w:r>
          </w:p>
        </w:tc>
        <w:tc>
          <w:tcPr>
            <w:tcW w:w="823" w:type="dxa"/>
            <w:vAlign w:val="center"/>
            <w:hideMark/>
          </w:tcPr>
          <w:p w14:paraId="403888F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3EBCB7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7E9939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6D0996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20A6DF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0E967B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102</w:t>
            </w:r>
          </w:p>
        </w:tc>
        <w:tc>
          <w:tcPr>
            <w:tcW w:w="3394" w:type="dxa"/>
            <w:vAlign w:val="center"/>
            <w:hideMark/>
          </w:tcPr>
          <w:p w14:paraId="053BA50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de Plástico (PP)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Autoclavável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2 Litros</w:t>
            </w:r>
          </w:p>
        </w:tc>
        <w:tc>
          <w:tcPr>
            <w:tcW w:w="823" w:type="dxa"/>
            <w:vAlign w:val="center"/>
            <w:hideMark/>
          </w:tcPr>
          <w:p w14:paraId="5C35D79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559" w:type="dxa"/>
            <w:noWrap/>
            <w:vAlign w:val="center"/>
            <w:hideMark/>
          </w:tcPr>
          <w:p w14:paraId="189C15C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6FCDC1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D946C4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342295C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529102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103</w:t>
            </w:r>
          </w:p>
        </w:tc>
        <w:tc>
          <w:tcPr>
            <w:tcW w:w="3394" w:type="dxa"/>
            <w:vAlign w:val="center"/>
            <w:hideMark/>
          </w:tcPr>
          <w:p w14:paraId="535D218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Bandeja plástica para suporte de vidrarias, 3L</w:t>
            </w:r>
          </w:p>
        </w:tc>
        <w:tc>
          <w:tcPr>
            <w:tcW w:w="823" w:type="dxa"/>
            <w:vAlign w:val="center"/>
            <w:hideMark/>
          </w:tcPr>
          <w:p w14:paraId="36DAFEF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A74574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C44D07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6FEAD1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91F5DF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C39938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104</w:t>
            </w:r>
          </w:p>
        </w:tc>
        <w:tc>
          <w:tcPr>
            <w:tcW w:w="3394" w:type="dxa"/>
            <w:vAlign w:val="center"/>
            <w:hideMark/>
          </w:tcPr>
          <w:p w14:paraId="37DC709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Peneira molecular 0,3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nm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ED90C1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07B13B5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GRAMA</w:t>
            </w:r>
          </w:p>
        </w:tc>
        <w:tc>
          <w:tcPr>
            <w:tcW w:w="1418" w:type="dxa"/>
            <w:noWrap/>
            <w:vAlign w:val="center"/>
            <w:hideMark/>
          </w:tcPr>
          <w:p w14:paraId="353DB3B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B25830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4688F7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3645A5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105</w:t>
            </w:r>
          </w:p>
        </w:tc>
        <w:tc>
          <w:tcPr>
            <w:tcW w:w="3394" w:type="dxa"/>
            <w:vAlign w:val="center"/>
            <w:hideMark/>
          </w:tcPr>
          <w:p w14:paraId="0BEBA43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Conteiner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de segurança</w:t>
            </w:r>
          </w:p>
        </w:tc>
        <w:tc>
          <w:tcPr>
            <w:tcW w:w="823" w:type="dxa"/>
            <w:vAlign w:val="center"/>
            <w:hideMark/>
          </w:tcPr>
          <w:p w14:paraId="6A0874B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6171EE3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ACD739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6D9965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BB85E7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A55CE7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106</w:t>
            </w:r>
          </w:p>
        </w:tc>
        <w:tc>
          <w:tcPr>
            <w:tcW w:w="3394" w:type="dxa"/>
            <w:vAlign w:val="center"/>
            <w:hideMark/>
          </w:tcPr>
          <w:p w14:paraId="48DE37B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Lâmina para microscopia 26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x 76</w:t>
            </w:r>
          </w:p>
        </w:tc>
        <w:tc>
          <w:tcPr>
            <w:tcW w:w="823" w:type="dxa"/>
            <w:vAlign w:val="center"/>
            <w:hideMark/>
          </w:tcPr>
          <w:p w14:paraId="100D5AC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14:paraId="6B5F52B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2F4FD9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BB14BD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09B76A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B0CB46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107</w:t>
            </w:r>
          </w:p>
        </w:tc>
        <w:tc>
          <w:tcPr>
            <w:tcW w:w="3394" w:type="dxa"/>
            <w:vAlign w:val="center"/>
            <w:hideMark/>
          </w:tcPr>
          <w:p w14:paraId="51719DA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Lamínula para microscopia 24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  <w:t>x 24</w:t>
            </w:r>
          </w:p>
        </w:tc>
        <w:tc>
          <w:tcPr>
            <w:tcW w:w="823" w:type="dxa"/>
            <w:vAlign w:val="center"/>
            <w:hideMark/>
          </w:tcPr>
          <w:p w14:paraId="0EBAA98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14:paraId="2A07467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42603B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16952D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191132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723538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108</w:t>
            </w:r>
          </w:p>
        </w:tc>
        <w:tc>
          <w:tcPr>
            <w:tcW w:w="3394" w:type="dxa"/>
            <w:vAlign w:val="center"/>
            <w:hideMark/>
          </w:tcPr>
          <w:p w14:paraId="41478BA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Rolha de borracha antiácida nº 2</w:t>
            </w:r>
          </w:p>
        </w:tc>
        <w:tc>
          <w:tcPr>
            <w:tcW w:w="823" w:type="dxa"/>
            <w:vAlign w:val="center"/>
            <w:hideMark/>
          </w:tcPr>
          <w:p w14:paraId="70C54EF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C728C7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1841A2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3ED4C3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919809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599663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109</w:t>
            </w:r>
          </w:p>
        </w:tc>
        <w:tc>
          <w:tcPr>
            <w:tcW w:w="3394" w:type="dxa"/>
            <w:vAlign w:val="center"/>
            <w:hideMark/>
          </w:tcPr>
          <w:p w14:paraId="08F3F12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Rolha de borracha antiácida nº 5</w:t>
            </w:r>
          </w:p>
        </w:tc>
        <w:tc>
          <w:tcPr>
            <w:tcW w:w="823" w:type="dxa"/>
            <w:vAlign w:val="center"/>
            <w:hideMark/>
          </w:tcPr>
          <w:p w14:paraId="11781BF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47D5E40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3994F0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B78EC9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CE3758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2665CD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110</w:t>
            </w:r>
          </w:p>
        </w:tc>
        <w:tc>
          <w:tcPr>
            <w:tcW w:w="3394" w:type="dxa"/>
            <w:vAlign w:val="center"/>
            <w:hideMark/>
          </w:tcPr>
          <w:p w14:paraId="5C03C0D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Rolha de borracha antiácida nº 7</w:t>
            </w:r>
          </w:p>
        </w:tc>
        <w:tc>
          <w:tcPr>
            <w:tcW w:w="823" w:type="dxa"/>
            <w:vAlign w:val="center"/>
            <w:hideMark/>
          </w:tcPr>
          <w:p w14:paraId="1709451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9ABF5B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4FE6B7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F6C682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C7CD4DC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D21B1E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111</w:t>
            </w:r>
          </w:p>
        </w:tc>
        <w:tc>
          <w:tcPr>
            <w:tcW w:w="3394" w:type="dxa"/>
            <w:vAlign w:val="center"/>
            <w:hideMark/>
          </w:tcPr>
          <w:p w14:paraId="70B4067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Béquer plástico (tipo copo de Griffin) 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56A2CD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154669B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951EA1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68D798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70A9BA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BFEF66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112</w:t>
            </w:r>
          </w:p>
        </w:tc>
        <w:tc>
          <w:tcPr>
            <w:tcW w:w="3394" w:type="dxa"/>
            <w:vAlign w:val="center"/>
            <w:hideMark/>
          </w:tcPr>
          <w:p w14:paraId="3F40B32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Béquer plástico (tipo copo de Griffin) 400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3024B24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0AD958D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F3114C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8F701B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30D6C4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D0165E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113</w:t>
            </w:r>
          </w:p>
        </w:tc>
        <w:tc>
          <w:tcPr>
            <w:tcW w:w="3394" w:type="dxa"/>
            <w:vAlign w:val="center"/>
            <w:hideMark/>
          </w:tcPr>
          <w:p w14:paraId="19AE1BE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Béquer plástico (tipo copo de Griffin) 600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771BC2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714CA77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4C27FD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4B01B2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F49BA3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500790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114</w:t>
            </w:r>
          </w:p>
        </w:tc>
        <w:tc>
          <w:tcPr>
            <w:tcW w:w="3394" w:type="dxa"/>
            <w:vAlign w:val="center"/>
            <w:hideMark/>
          </w:tcPr>
          <w:p w14:paraId="6E2EC33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Béquer plástico (tipo copo de Griffin)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3046AD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2B830A1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D266A8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5D2491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FA9F3F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A7A7E5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115</w:t>
            </w:r>
          </w:p>
        </w:tc>
        <w:tc>
          <w:tcPr>
            <w:tcW w:w="3394" w:type="dxa"/>
            <w:vAlign w:val="center"/>
            <w:hideMark/>
          </w:tcPr>
          <w:p w14:paraId="684CC03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Béquer plástico (tipo copo de Griffin) 2000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6375FEA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40B81BB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20D539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44D971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2218AD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600534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116</w:t>
            </w:r>
          </w:p>
        </w:tc>
        <w:tc>
          <w:tcPr>
            <w:tcW w:w="3394" w:type="dxa"/>
            <w:vAlign w:val="center"/>
            <w:hideMark/>
          </w:tcPr>
          <w:p w14:paraId="75884FE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Béquer plástico (tipo copo de Griffin) 4000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96EC4E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7983FC1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76C324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CD212A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244E7A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BD8711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117</w:t>
            </w:r>
          </w:p>
        </w:tc>
        <w:tc>
          <w:tcPr>
            <w:tcW w:w="3394" w:type="dxa"/>
            <w:vAlign w:val="center"/>
            <w:hideMark/>
          </w:tcPr>
          <w:p w14:paraId="6977330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Cadinho de porcelana, forma média</w:t>
            </w:r>
          </w:p>
        </w:tc>
        <w:tc>
          <w:tcPr>
            <w:tcW w:w="823" w:type="dxa"/>
            <w:vAlign w:val="center"/>
            <w:hideMark/>
          </w:tcPr>
          <w:p w14:paraId="1CEE86D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05B6B48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D38662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7B3A81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9A8B38C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877D55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118</w:t>
            </w:r>
          </w:p>
        </w:tc>
        <w:tc>
          <w:tcPr>
            <w:tcW w:w="3394" w:type="dxa"/>
            <w:vAlign w:val="center"/>
            <w:hideMark/>
          </w:tcPr>
          <w:p w14:paraId="283F9AF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Cadinho de porcelana, forma baixa</w:t>
            </w:r>
          </w:p>
        </w:tc>
        <w:tc>
          <w:tcPr>
            <w:tcW w:w="823" w:type="dxa"/>
            <w:vAlign w:val="center"/>
            <w:hideMark/>
          </w:tcPr>
          <w:p w14:paraId="2B287FB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4BB7AF9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0D7610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1B3614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A55449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7FCBCE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119</w:t>
            </w:r>
          </w:p>
        </w:tc>
        <w:tc>
          <w:tcPr>
            <w:tcW w:w="3394" w:type="dxa"/>
            <w:vAlign w:val="center"/>
            <w:hideMark/>
          </w:tcPr>
          <w:p w14:paraId="35E7C8D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Escova para lavagem de vidraria 10 mm</w:t>
            </w:r>
          </w:p>
        </w:tc>
        <w:tc>
          <w:tcPr>
            <w:tcW w:w="823" w:type="dxa"/>
            <w:vAlign w:val="center"/>
            <w:hideMark/>
          </w:tcPr>
          <w:p w14:paraId="1811326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66C87AA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415561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193B36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2104F9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436139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lastRenderedPageBreak/>
              <w:t>120</w:t>
            </w:r>
          </w:p>
        </w:tc>
        <w:tc>
          <w:tcPr>
            <w:tcW w:w="3394" w:type="dxa"/>
            <w:vAlign w:val="center"/>
            <w:hideMark/>
          </w:tcPr>
          <w:p w14:paraId="299AC93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Escova para lavagem de vidraria 25 mm</w:t>
            </w:r>
          </w:p>
        </w:tc>
        <w:tc>
          <w:tcPr>
            <w:tcW w:w="823" w:type="dxa"/>
            <w:vAlign w:val="center"/>
            <w:hideMark/>
          </w:tcPr>
          <w:p w14:paraId="3227489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2819508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E332C4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C3756F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543470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6C967F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121</w:t>
            </w:r>
          </w:p>
        </w:tc>
        <w:tc>
          <w:tcPr>
            <w:tcW w:w="3394" w:type="dxa"/>
            <w:vAlign w:val="center"/>
            <w:hideMark/>
          </w:tcPr>
          <w:p w14:paraId="67A60CA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Escova para lavagem de vidraria 50 mm</w:t>
            </w:r>
          </w:p>
        </w:tc>
        <w:tc>
          <w:tcPr>
            <w:tcW w:w="823" w:type="dxa"/>
            <w:vAlign w:val="center"/>
            <w:hideMark/>
          </w:tcPr>
          <w:p w14:paraId="683F422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5DDA68F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EFA143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AE744B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E65177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108431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122</w:t>
            </w:r>
          </w:p>
        </w:tc>
        <w:tc>
          <w:tcPr>
            <w:tcW w:w="3394" w:type="dxa"/>
            <w:vAlign w:val="center"/>
            <w:hideMark/>
          </w:tcPr>
          <w:p w14:paraId="45028CA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Funil de plástico 50 mm</w:t>
            </w:r>
          </w:p>
        </w:tc>
        <w:tc>
          <w:tcPr>
            <w:tcW w:w="823" w:type="dxa"/>
            <w:vAlign w:val="center"/>
            <w:hideMark/>
          </w:tcPr>
          <w:p w14:paraId="0DDA4DC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AE6180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8352E8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B476E7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2915D5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741A9B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123</w:t>
            </w:r>
          </w:p>
        </w:tc>
        <w:tc>
          <w:tcPr>
            <w:tcW w:w="3394" w:type="dxa"/>
            <w:vAlign w:val="center"/>
            <w:hideMark/>
          </w:tcPr>
          <w:p w14:paraId="2D188C8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Funil de plástico 100 mm</w:t>
            </w:r>
          </w:p>
        </w:tc>
        <w:tc>
          <w:tcPr>
            <w:tcW w:w="823" w:type="dxa"/>
            <w:vAlign w:val="center"/>
            <w:hideMark/>
          </w:tcPr>
          <w:p w14:paraId="21D3CF9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5D0993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E91E0D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D6C65F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62C518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DB7E3D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124</w:t>
            </w:r>
          </w:p>
        </w:tc>
        <w:tc>
          <w:tcPr>
            <w:tcW w:w="3394" w:type="dxa"/>
            <w:vAlign w:val="center"/>
            <w:hideMark/>
          </w:tcPr>
          <w:p w14:paraId="72ACC99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Tampa tipo reta para tubo de ensaio</w:t>
            </w:r>
          </w:p>
        </w:tc>
        <w:tc>
          <w:tcPr>
            <w:tcW w:w="823" w:type="dxa"/>
            <w:vAlign w:val="center"/>
            <w:hideMark/>
          </w:tcPr>
          <w:p w14:paraId="69BF2DF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6653B49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444373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805EB9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5A00F0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D3FA48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125</w:t>
            </w:r>
          </w:p>
        </w:tc>
        <w:tc>
          <w:tcPr>
            <w:tcW w:w="3394" w:type="dxa"/>
            <w:vAlign w:val="center"/>
            <w:hideMark/>
          </w:tcPr>
          <w:p w14:paraId="0D984AC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Cadinho de platina 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67A804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14:paraId="4498DE0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78B1E3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F12219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3BA25D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86E342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126</w:t>
            </w:r>
          </w:p>
        </w:tc>
        <w:tc>
          <w:tcPr>
            <w:tcW w:w="3394" w:type="dxa"/>
            <w:vAlign w:val="center"/>
            <w:hideMark/>
          </w:tcPr>
          <w:p w14:paraId="06D45CA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âmbar de reagente com tampa </w:t>
            </w:r>
            <w:proofErr w:type="spellStart"/>
            <w:proofErr w:type="gram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rosqueável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,  125</w:t>
            </w:r>
            <w:proofErr w:type="gram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BF2E58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505D5A9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869432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942D38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302E01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74A27E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127</w:t>
            </w:r>
          </w:p>
        </w:tc>
        <w:tc>
          <w:tcPr>
            <w:tcW w:w="3394" w:type="dxa"/>
            <w:vAlign w:val="center"/>
            <w:hideMark/>
          </w:tcPr>
          <w:p w14:paraId="52E9CCB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âmbar de reagente com tampa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rosqueável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,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6E5F75B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5F3433F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0BA6B0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AA83B9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BB0F7C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05C33E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128</w:t>
            </w:r>
          </w:p>
        </w:tc>
        <w:tc>
          <w:tcPr>
            <w:tcW w:w="3394" w:type="dxa"/>
            <w:vAlign w:val="center"/>
            <w:hideMark/>
          </w:tcPr>
          <w:p w14:paraId="6C3F81A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estéril base cônica, 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B5CC21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1090162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2AF79F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0E5D1D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2497A6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F1EA51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129</w:t>
            </w:r>
          </w:p>
        </w:tc>
        <w:tc>
          <w:tcPr>
            <w:tcW w:w="3394" w:type="dxa"/>
            <w:vAlign w:val="center"/>
            <w:hideMark/>
          </w:tcPr>
          <w:p w14:paraId="15B08A1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estéril base plana, 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30ADB42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12E4E6F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27CED9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DB48B1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0C68CB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7E8A07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130</w:t>
            </w:r>
          </w:p>
        </w:tc>
        <w:tc>
          <w:tcPr>
            <w:tcW w:w="3394" w:type="dxa"/>
            <w:vAlign w:val="center"/>
            <w:hideMark/>
          </w:tcPr>
          <w:p w14:paraId="6261158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estéril base cônica, 15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182BDA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4FB23D3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3E3D58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684693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66426E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C11723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131</w:t>
            </w:r>
          </w:p>
        </w:tc>
        <w:tc>
          <w:tcPr>
            <w:tcW w:w="3394" w:type="dxa"/>
            <w:vAlign w:val="center"/>
            <w:hideMark/>
          </w:tcPr>
          <w:p w14:paraId="5456AB9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estéril base plana, 15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C01F8B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12AEEF5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C2120F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DFB8D2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ECFA6AD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B355C3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132</w:t>
            </w:r>
          </w:p>
        </w:tc>
        <w:tc>
          <w:tcPr>
            <w:tcW w:w="3394" w:type="dxa"/>
            <w:vAlign w:val="center"/>
            <w:hideMark/>
          </w:tcPr>
          <w:p w14:paraId="09204E5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base plana, 15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376AA36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110B253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39FB2C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09A698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3B5774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F3A28F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133</w:t>
            </w:r>
          </w:p>
        </w:tc>
        <w:tc>
          <w:tcPr>
            <w:tcW w:w="3394" w:type="dxa"/>
            <w:vAlign w:val="center"/>
            <w:hideMark/>
          </w:tcPr>
          <w:p w14:paraId="4543729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base cônica, 15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78ED36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4D5209F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F55FF6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1332F9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939E93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3AE3E0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134</w:t>
            </w:r>
          </w:p>
        </w:tc>
        <w:tc>
          <w:tcPr>
            <w:tcW w:w="3394" w:type="dxa"/>
            <w:vAlign w:val="center"/>
            <w:hideMark/>
          </w:tcPr>
          <w:p w14:paraId="4E8D95D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base cônica, 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8B99F9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742C8DF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C4E3CD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080689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4467F2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DB398F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135</w:t>
            </w:r>
          </w:p>
        </w:tc>
        <w:tc>
          <w:tcPr>
            <w:tcW w:w="3394" w:type="dxa"/>
            <w:vAlign w:val="center"/>
            <w:hideMark/>
          </w:tcPr>
          <w:p w14:paraId="5E006DA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falcon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base plana, 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17CBB9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3936B5E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2EE25E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53102D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D44B66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F88902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136</w:t>
            </w:r>
          </w:p>
        </w:tc>
        <w:tc>
          <w:tcPr>
            <w:tcW w:w="3394" w:type="dxa"/>
            <w:vAlign w:val="center"/>
            <w:hideMark/>
          </w:tcPr>
          <w:p w14:paraId="150E7A3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em PTFE,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677442B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7231188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088263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22F57B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B08EA3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015C29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137</w:t>
            </w:r>
          </w:p>
        </w:tc>
        <w:tc>
          <w:tcPr>
            <w:tcW w:w="3394" w:type="dxa"/>
            <w:vAlign w:val="center"/>
            <w:hideMark/>
          </w:tcPr>
          <w:p w14:paraId="3DD5FCE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em PTFE,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5542E0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1976323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671048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8C790C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1B88B1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00D4ED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138</w:t>
            </w:r>
          </w:p>
        </w:tc>
        <w:tc>
          <w:tcPr>
            <w:tcW w:w="3394" w:type="dxa"/>
            <w:vAlign w:val="center"/>
            <w:hideMark/>
          </w:tcPr>
          <w:p w14:paraId="79965D4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Dispositivo de filtração de 0,22µm,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88652F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7429176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773D68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1FA130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B49777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FBC0CB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139</w:t>
            </w:r>
          </w:p>
        </w:tc>
        <w:tc>
          <w:tcPr>
            <w:tcW w:w="3394" w:type="dxa"/>
            <w:vAlign w:val="center"/>
            <w:hideMark/>
          </w:tcPr>
          <w:p w14:paraId="5C41179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Dispositivo de filtração de 0,22µm, 1000</w:t>
            </w: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br/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8328B1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560DE02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D5CC48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AEC6E2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BDBF1E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C7A33F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140</w:t>
            </w:r>
          </w:p>
        </w:tc>
        <w:tc>
          <w:tcPr>
            <w:tcW w:w="3394" w:type="dxa"/>
            <w:vAlign w:val="center"/>
            <w:hideMark/>
          </w:tcPr>
          <w:p w14:paraId="0728ECF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lavador de gás Cabeça 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Drechsel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com frasco graduado sem Placa porosa,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8169B5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14:paraId="26521E8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769737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3804B7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091B5F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FDB939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lastRenderedPageBreak/>
              <w:t>141</w:t>
            </w:r>
          </w:p>
        </w:tc>
        <w:tc>
          <w:tcPr>
            <w:tcW w:w="3394" w:type="dxa"/>
            <w:vAlign w:val="center"/>
            <w:hideMark/>
          </w:tcPr>
          <w:p w14:paraId="35BADB6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lavador de gás Cabeça 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Drechsel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com frasco graduado sem Placa porosa,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5C80EC4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14:paraId="58F5D13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967E7E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2382FE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47CFEE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0FE757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142</w:t>
            </w:r>
          </w:p>
        </w:tc>
        <w:tc>
          <w:tcPr>
            <w:tcW w:w="3394" w:type="dxa"/>
            <w:vAlign w:val="center"/>
            <w:hideMark/>
          </w:tcPr>
          <w:p w14:paraId="3CEBFFB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lavador de gás Cabeça 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Drechsel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com frasco graduado sem Placa porosa, 2000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44BDC18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14:paraId="3EB6709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80A708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38BC7C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3E8A28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A4ADDC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143</w:t>
            </w:r>
          </w:p>
        </w:tc>
        <w:tc>
          <w:tcPr>
            <w:tcW w:w="3394" w:type="dxa"/>
            <w:vAlign w:val="center"/>
            <w:hideMark/>
          </w:tcPr>
          <w:p w14:paraId="152BAFB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Caixa organizadora 30 L</w:t>
            </w:r>
          </w:p>
        </w:tc>
        <w:tc>
          <w:tcPr>
            <w:tcW w:w="823" w:type="dxa"/>
            <w:vAlign w:val="center"/>
            <w:hideMark/>
          </w:tcPr>
          <w:p w14:paraId="4800690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52C9125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6D0AE2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EB5EA4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AC72F0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EAF992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144</w:t>
            </w:r>
          </w:p>
        </w:tc>
        <w:tc>
          <w:tcPr>
            <w:tcW w:w="3394" w:type="dxa"/>
            <w:vAlign w:val="center"/>
            <w:hideMark/>
          </w:tcPr>
          <w:p w14:paraId="7193B9C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Papel absorvente macio para laboratório, sem fiapos</w:t>
            </w:r>
          </w:p>
        </w:tc>
        <w:tc>
          <w:tcPr>
            <w:tcW w:w="823" w:type="dxa"/>
            <w:vAlign w:val="center"/>
            <w:hideMark/>
          </w:tcPr>
          <w:p w14:paraId="4B4BA34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3000</w:t>
            </w:r>
          </w:p>
        </w:tc>
        <w:tc>
          <w:tcPr>
            <w:tcW w:w="1559" w:type="dxa"/>
            <w:noWrap/>
            <w:vAlign w:val="center"/>
            <w:hideMark/>
          </w:tcPr>
          <w:p w14:paraId="2FC3781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8E2E50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378C26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78CE73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66312A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145</w:t>
            </w:r>
          </w:p>
        </w:tc>
        <w:tc>
          <w:tcPr>
            <w:tcW w:w="3394" w:type="dxa"/>
            <w:vAlign w:val="center"/>
            <w:hideMark/>
          </w:tcPr>
          <w:p w14:paraId="21D0647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Dessecador de vidro, 2 L</w:t>
            </w:r>
          </w:p>
        </w:tc>
        <w:tc>
          <w:tcPr>
            <w:tcW w:w="823" w:type="dxa"/>
            <w:vAlign w:val="center"/>
            <w:hideMark/>
          </w:tcPr>
          <w:p w14:paraId="52AB1F7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14:paraId="09E30A3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60B049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FBB17C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A5271F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390123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146</w:t>
            </w:r>
          </w:p>
        </w:tc>
        <w:tc>
          <w:tcPr>
            <w:tcW w:w="3394" w:type="dxa"/>
            <w:vAlign w:val="center"/>
            <w:hideMark/>
          </w:tcPr>
          <w:p w14:paraId="59176F8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Dessecador de vidro, 5 L</w:t>
            </w:r>
          </w:p>
        </w:tc>
        <w:tc>
          <w:tcPr>
            <w:tcW w:w="823" w:type="dxa"/>
            <w:vAlign w:val="center"/>
            <w:hideMark/>
          </w:tcPr>
          <w:p w14:paraId="731EFDB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14:paraId="06F9182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1D1F3CC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26C284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FF2608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7EB6E8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147</w:t>
            </w:r>
          </w:p>
        </w:tc>
        <w:tc>
          <w:tcPr>
            <w:tcW w:w="3394" w:type="dxa"/>
            <w:vAlign w:val="center"/>
            <w:hideMark/>
          </w:tcPr>
          <w:p w14:paraId="4DFBB0F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Dessecador de vidro, 7 L</w:t>
            </w:r>
          </w:p>
        </w:tc>
        <w:tc>
          <w:tcPr>
            <w:tcW w:w="823" w:type="dxa"/>
            <w:vAlign w:val="center"/>
            <w:hideMark/>
          </w:tcPr>
          <w:p w14:paraId="4BC0ECF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559" w:type="dxa"/>
            <w:noWrap/>
            <w:vAlign w:val="center"/>
            <w:hideMark/>
          </w:tcPr>
          <w:p w14:paraId="434F958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F280EB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EC8946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EEA176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06CFEF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148</w:t>
            </w:r>
          </w:p>
        </w:tc>
        <w:tc>
          <w:tcPr>
            <w:tcW w:w="3394" w:type="dxa"/>
            <w:vAlign w:val="center"/>
            <w:hideMark/>
          </w:tcPr>
          <w:p w14:paraId="507E3C3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Dessecador de vidro, 12 L</w:t>
            </w:r>
          </w:p>
        </w:tc>
        <w:tc>
          <w:tcPr>
            <w:tcW w:w="823" w:type="dxa"/>
            <w:vAlign w:val="center"/>
            <w:hideMark/>
          </w:tcPr>
          <w:p w14:paraId="15D91F2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14:paraId="458D5A8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AD7102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793DF4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3FCCA0F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590145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149</w:t>
            </w:r>
          </w:p>
        </w:tc>
        <w:tc>
          <w:tcPr>
            <w:tcW w:w="3394" w:type="dxa"/>
            <w:vAlign w:val="center"/>
            <w:hideMark/>
          </w:tcPr>
          <w:p w14:paraId="0368621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Barra magnética cilíndrica, 10x50 mm</w:t>
            </w:r>
          </w:p>
        </w:tc>
        <w:tc>
          <w:tcPr>
            <w:tcW w:w="823" w:type="dxa"/>
            <w:vAlign w:val="center"/>
            <w:hideMark/>
          </w:tcPr>
          <w:p w14:paraId="5687A6B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2D142B6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9D0DAB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C646ED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D918FD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3E04B6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150</w:t>
            </w:r>
          </w:p>
        </w:tc>
        <w:tc>
          <w:tcPr>
            <w:tcW w:w="3394" w:type="dxa"/>
            <w:vAlign w:val="center"/>
            <w:hideMark/>
          </w:tcPr>
          <w:p w14:paraId="2EB9CA3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Barra magnética cilíndrica, 5x10 mm</w:t>
            </w:r>
          </w:p>
        </w:tc>
        <w:tc>
          <w:tcPr>
            <w:tcW w:w="823" w:type="dxa"/>
            <w:vAlign w:val="center"/>
            <w:hideMark/>
          </w:tcPr>
          <w:p w14:paraId="288EABD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0463427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EFA275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DC36F4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517F3D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4485E7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151</w:t>
            </w:r>
          </w:p>
        </w:tc>
        <w:tc>
          <w:tcPr>
            <w:tcW w:w="3394" w:type="dxa"/>
            <w:vAlign w:val="center"/>
            <w:hideMark/>
          </w:tcPr>
          <w:p w14:paraId="175D8F0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Barra magnética cilíndrica, 7x20 mm</w:t>
            </w:r>
          </w:p>
        </w:tc>
        <w:tc>
          <w:tcPr>
            <w:tcW w:w="823" w:type="dxa"/>
            <w:vAlign w:val="center"/>
            <w:hideMark/>
          </w:tcPr>
          <w:p w14:paraId="7B45644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3025A68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F71761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ECCE27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247DCD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2F1B94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152</w:t>
            </w:r>
          </w:p>
        </w:tc>
        <w:tc>
          <w:tcPr>
            <w:tcW w:w="3394" w:type="dxa"/>
            <w:vAlign w:val="center"/>
            <w:hideMark/>
          </w:tcPr>
          <w:p w14:paraId="0E5D812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Barra magnética cilíndrica, 7x40 mm</w:t>
            </w:r>
          </w:p>
        </w:tc>
        <w:tc>
          <w:tcPr>
            <w:tcW w:w="823" w:type="dxa"/>
            <w:vAlign w:val="center"/>
            <w:hideMark/>
          </w:tcPr>
          <w:p w14:paraId="343197E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6D9C7F3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7C9FB3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AB80FE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A0AC7DE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9F0644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153</w:t>
            </w:r>
          </w:p>
        </w:tc>
        <w:tc>
          <w:tcPr>
            <w:tcW w:w="3394" w:type="dxa"/>
            <w:vAlign w:val="center"/>
            <w:hideMark/>
          </w:tcPr>
          <w:p w14:paraId="06448DE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Barra magnética cilíndrica, 9x30 mm</w:t>
            </w:r>
          </w:p>
        </w:tc>
        <w:tc>
          <w:tcPr>
            <w:tcW w:w="823" w:type="dxa"/>
            <w:vAlign w:val="center"/>
            <w:hideMark/>
          </w:tcPr>
          <w:p w14:paraId="0F05A08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65EC364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1EC315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D2CC83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DB71CA6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AA2653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154</w:t>
            </w:r>
          </w:p>
        </w:tc>
        <w:tc>
          <w:tcPr>
            <w:tcW w:w="3394" w:type="dxa"/>
            <w:vAlign w:val="center"/>
            <w:hideMark/>
          </w:tcPr>
          <w:p w14:paraId="6311D97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Barra magnética cilíndrica, 3x7 mm</w:t>
            </w:r>
          </w:p>
        </w:tc>
        <w:tc>
          <w:tcPr>
            <w:tcW w:w="823" w:type="dxa"/>
            <w:vAlign w:val="center"/>
            <w:hideMark/>
          </w:tcPr>
          <w:p w14:paraId="3ED0154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4FCC177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3ADC4B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C60841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19B93B7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4D2E70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155</w:t>
            </w:r>
          </w:p>
        </w:tc>
        <w:tc>
          <w:tcPr>
            <w:tcW w:w="3394" w:type="dxa"/>
            <w:vAlign w:val="center"/>
            <w:hideMark/>
          </w:tcPr>
          <w:p w14:paraId="19F6699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Barra magnética cilíndrica, 3x15 mm</w:t>
            </w:r>
          </w:p>
        </w:tc>
        <w:tc>
          <w:tcPr>
            <w:tcW w:w="823" w:type="dxa"/>
            <w:vAlign w:val="center"/>
            <w:hideMark/>
          </w:tcPr>
          <w:p w14:paraId="1D3C879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362B64C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9C52E5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C8F542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2EAD99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487E948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156</w:t>
            </w:r>
          </w:p>
        </w:tc>
        <w:tc>
          <w:tcPr>
            <w:tcW w:w="3394" w:type="dxa"/>
            <w:vAlign w:val="center"/>
            <w:hideMark/>
          </w:tcPr>
          <w:p w14:paraId="3B147F4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Sistema de filtração a vácuo completo, 500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823" w:type="dxa"/>
            <w:vAlign w:val="center"/>
            <w:hideMark/>
          </w:tcPr>
          <w:p w14:paraId="1C634DE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14:paraId="28B0C74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0DA9EC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E0A0EE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0F902A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6AA1A5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157</w:t>
            </w:r>
          </w:p>
        </w:tc>
        <w:tc>
          <w:tcPr>
            <w:tcW w:w="3394" w:type="dxa"/>
            <w:vAlign w:val="center"/>
            <w:hideMark/>
          </w:tcPr>
          <w:p w14:paraId="26C18D6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Sistema de filtração a vácuo completo,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823" w:type="dxa"/>
            <w:vAlign w:val="center"/>
            <w:hideMark/>
          </w:tcPr>
          <w:p w14:paraId="6A5B077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413AC9B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758FE4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C205F6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EAC01F9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BE7B3D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158</w:t>
            </w:r>
          </w:p>
        </w:tc>
        <w:tc>
          <w:tcPr>
            <w:tcW w:w="3394" w:type="dxa"/>
            <w:vAlign w:val="center"/>
            <w:hideMark/>
          </w:tcPr>
          <w:p w14:paraId="32EAD33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Sistema de filtração a vácuo completo, 2000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823" w:type="dxa"/>
            <w:vAlign w:val="center"/>
            <w:hideMark/>
          </w:tcPr>
          <w:p w14:paraId="75B4B18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559" w:type="dxa"/>
            <w:noWrap/>
            <w:vAlign w:val="center"/>
            <w:hideMark/>
          </w:tcPr>
          <w:p w14:paraId="300B60C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F8BCEB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1860CF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A7A7F98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7D487B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159</w:t>
            </w:r>
          </w:p>
        </w:tc>
        <w:tc>
          <w:tcPr>
            <w:tcW w:w="3394" w:type="dxa"/>
            <w:vAlign w:val="center"/>
            <w:hideMark/>
          </w:tcPr>
          <w:p w14:paraId="5F687F8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Espátula para abertura de cassetes de géis</w:t>
            </w:r>
          </w:p>
        </w:tc>
        <w:tc>
          <w:tcPr>
            <w:tcW w:w="823" w:type="dxa"/>
            <w:vAlign w:val="center"/>
            <w:hideMark/>
          </w:tcPr>
          <w:p w14:paraId="46F05EE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0E75214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3E8B63F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48697C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0A7A63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87DC82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160</w:t>
            </w:r>
          </w:p>
        </w:tc>
        <w:tc>
          <w:tcPr>
            <w:tcW w:w="3394" w:type="dxa"/>
            <w:vAlign w:val="center"/>
            <w:hideMark/>
          </w:tcPr>
          <w:p w14:paraId="5C755E0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Insert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Vial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Cromatografia Base Cônica</w:t>
            </w:r>
          </w:p>
        </w:tc>
        <w:tc>
          <w:tcPr>
            <w:tcW w:w="823" w:type="dxa"/>
            <w:vAlign w:val="center"/>
            <w:hideMark/>
          </w:tcPr>
          <w:p w14:paraId="1DA44FA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559" w:type="dxa"/>
            <w:noWrap/>
            <w:vAlign w:val="center"/>
            <w:hideMark/>
          </w:tcPr>
          <w:p w14:paraId="4390030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6D1AD3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4EFDAB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34698A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6AA00A6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161</w:t>
            </w:r>
          </w:p>
        </w:tc>
        <w:tc>
          <w:tcPr>
            <w:tcW w:w="3394" w:type="dxa"/>
            <w:vAlign w:val="center"/>
            <w:hideMark/>
          </w:tcPr>
          <w:p w14:paraId="18BC18D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Rack flutuante para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microtubos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310C606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14:paraId="35897B3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648DF2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64A684E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3CB9D8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65BBBC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lastRenderedPageBreak/>
              <w:t>162</w:t>
            </w:r>
          </w:p>
        </w:tc>
        <w:tc>
          <w:tcPr>
            <w:tcW w:w="3394" w:type="dxa"/>
            <w:vAlign w:val="center"/>
            <w:hideMark/>
          </w:tcPr>
          <w:p w14:paraId="283F8B1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em PE âmbar, 250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28C814B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1ECEEFF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03D8C7E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E789A7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D8EA3D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5662D8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163</w:t>
            </w:r>
          </w:p>
        </w:tc>
        <w:tc>
          <w:tcPr>
            <w:tcW w:w="3394" w:type="dxa"/>
            <w:vAlign w:val="center"/>
            <w:hideMark/>
          </w:tcPr>
          <w:p w14:paraId="0BECD7A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em PE âmbar, 125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1819EC1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3582568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43ECA7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7EA2B5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41E89B27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42F6DA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164</w:t>
            </w:r>
          </w:p>
        </w:tc>
        <w:tc>
          <w:tcPr>
            <w:tcW w:w="3394" w:type="dxa"/>
            <w:vAlign w:val="center"/>
            <w:hideMark/>
          </w:tcPr>
          <w:p w14:paraId="5A8D981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Frasco em PE âmbar, 1000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511C6F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14:paraId="160B96B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5A1331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4328A1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3BFEF60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394F83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165</w:t>
            </w:r>
          </w:p>
        </w:tc>
        <w:tc>
          <w:tcPr>
            <w:tcW w:w="3394" w:type="dxa"/>
            <w:vAlign w:val="center"/>
            <w:hideMark/>
          </w:tcPr>
          <w:p w14:paraId="55042A8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Quebrador de ampola</w:t>
            </w:r>
          </w:p>
        </w:tc>
        <w:tc>
          <w:tcPr>
            <w:tcW w:w="823" w:type="dxa"/>
            <w:vAlign w:val="center"/>
            <w:hideMark/>
          </w:tcPr>
          <w:p w14:paraId="1BE06C3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14:paraId="0BA528E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A1F812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5AAC7C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04E8E32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54ED89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166</w:t>
            </w:r>
          </w:p>
        </w:tc>
        <w:tc>
          <w:tcPr>
            <w:tcW w:w="3394" w:type="dxa"/>
            <w:vAlign w:val="center"/>
            <w:hideMark/>
          </w:tcPr>
          <w:p w14:paraId="6CD71055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Mangote de segurança descartável</w:t>
            </w:r>
          </w:p>
        </w:tc>
        <w:tc>
          <w:tcPr>
            <w:tcW w:w="823" w:type="dxa"/>
            <w:vAlign w:val="center"/>
            <w:hideMark/>
          </w:tcPr>
          <w:p w14:paraId="119A8F2F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</w:t>
            </w:r>
          </w:p>
        </w:tc>
        <w:tc>
          <w:tcPr>
            <w:tcW w:w="1559" w:type="dxa"/>
            <w:noWrap/>
            <w:vAlign w:val="center"/>
            <w:hideMark/>
          </w:tcPr>
          <w:p w14:paraId="7173ACC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7DB7482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B5894B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75FECF4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0B1D9E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167</w:t>
            </w:r>
          </w:p>
        </w:tc>
        <w:tc>
          <w:tcPr>
            <w:tcW w:w="3394" w:type="dxa"/>
            <w:vAlign w:val="center"/>
            <w:hideMark/>
          </w:tcPr>
          <w:p w14:paraId="320210B2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Máscara para pesagem de produtos</w:t>
            </w:r>
          </w:p>
        </w:tc>
        <w:tc>
          <w:tcPr>
            <w:tcW w:w="823" w:type="dxa"/>
            <w:vAlign w:val="center"/>
            <w:hideMark/>
          </w:tcPr>
          <w:p w14:paraId="14474DF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14:paraId="0E86B34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0988D9F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577DFD0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74D520D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5611FB1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168</w:t>
            </w:r>
          </w:p>
        </w:tc>
        <w:tc>
          <w:tcPr>
            <w:tcW w:w="3394" w:type="dxa"/>
            <w:vAlign w:val="center"/>
            <w:hideMark/>
          </w:tcPr>
          <w:p w14:paraId="0ADAB93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Criobox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tubos de 1,5 a 2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040113C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385FAE9A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49BA1B7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3BC960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10C27FB3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2F59300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169</w:t>
            </w:r>
          </w:p>
        </w:tc>
        <w:tc>
          <w:tcPr>
            <w:tcW w:w="3394" w:type="dxa"/>
            <w:vAlign w:val="center"/>
            <w:hideMark/>
          </w:tcPr>
          <w:p w14:paraId="0B9402EA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Cuba de vidro</w:t>
            </w:r>
          </w:p>
        </w:tc>
        <w:tc>
          <w:tcPr>
            <w:tcW w:w="823" w:type="dxa"/>
            <w:vAlign w:val="center"/>
            <w:hideMark/>
          </w:tcPr>
          <w:p w14:paraId="48408F58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559" w:type="dxa"/>
            <w:noWrap/>
            <w:vAlign w:val="center"/>
            <w:hideMark/>
          </w:tcPr>
          <w:p w14:paraId="6FC7EF9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44079A1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188711C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BF71341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10A9BF8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170</w:t>
            </w:r>
          </w:p>
        </w:tc>
        <w:tc>
          <w:tcPr>
            <w:tcW w:w="3394" w:type="dxa"/>
            <w:vAlign w:val="center"/>
            <w:hideMark/>
          </w:tcPr>
          <w:p w14:paraId="5B25A58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Almofariz (grau) de ágata, com pistilo, (200mL)</w:t>
            </w:r>
          </w:p>
        </w:tc>
        <w:tc>
          <w:tcPr>
            <w:tcW w:w="823" w:type="dxa"/>
            <w:vAlign w:val="center"/>
            <w:hideMark/>
          </w:tcPr>
          <w:p w14:paraId="4E4B7C0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559" w:type="dxa"/>
            <w:noWrap/>
            <w:vAlign w:val="center"/>
            <w:hideMark/>
          </w:tcPr>
          <w:p w14:paraId="40E16EB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361EE8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7F0773EC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A3D9B6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30AA7B75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171</w:t>
            </w:r>
          </w:p>
        </w:tc>
        <w:tc>
          <w:tcPr>
            <w:tcW w:w="3394" w:type="dxa"/>
            <w:vAlign w:val="center"/>
            <w:hideMark/>
          </w:tcPr>
          <w:p w14:paraId="174EFEF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Tubos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12x75mm</w:t>
            </w:r>
          </w:p>
        </w:tc>
        <w:tc>
          <w:tcPr>
            <w:tcW w:w="823" w:type="dxa"/>
            <w:vAlign w:val="center"/>
            <w:hideMark/>
          </w:tcPr>
          <w:p w14:paraId="4C98EE5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  <w:hideMark/>
          </w:tcPr>
          <w:p w14:paraId="21FBCBC2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53C490A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6EDC223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5F70B9FB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87F540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172</w:t>
            </w:r>
          </w:p>
        </w:tc>
        <w:tc>
          <w:tcPr>
            <w:tcW w:w="3394" w:type="dxa"/>
            <w:vAlign w:val="center"/>
            <w:hideMark/>
          </w:tcPr>
          <w:p w14:paraId="17C6437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Tubos de vidro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borossilicato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13x100mm</w:t>
            </w:r>
          </w:p>
        </w:tc>
        <w:tc>
          <w:tcPr>
            <w:tcW w:w="823" w:type="dxa"/>
            <w:vAlign w:val="center"/>
            <w:hideMark/>
          </w:tcPr>
          <w:p w14:paraId="2C17004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500</w:t>
            </w:r>
          </w:p>
        </w:tc>
        <w:tc>
          <w:tcPr>
            <w:tcW w:w="1559" w:type="dxa"/>
            <w:noWrap/>
            <w:vAlign w:val="center"/>
            <w:hideMark/>
          </w:tcPr>
          <w:p w14:paraId="09735C2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29A3C16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A404A5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0E4462DA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029BABE0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173</w:t>
            </w:r>
          </w:p>
        </w:tc>
        <w:tc>
          <w:tcPr>
            <w:tcW w:w="3394" w:type="dxa"/>
            <w:vAlign w:val="center"/>
            <w:hideMark/>
          </w:tcPr>
          <w:p w14:paraId="291D741D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Parafilm</w:t>
            </w:r>
            <w:proofErr w:type="spellEnd"/>
          </w:p>
        </w:tc>
        <w:tc>
          <w:tcPr>
            <w:tcW w:w="823" w:type="dxa"/>
            <w:vAlign w:val="center"/>
            <w:hideMark/>
          </w:tcPr>
          <w:p w14:paraId="69FC37C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14:paraId="0BF5BE5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D92F32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987152E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7DB16F5" w14:textId="77777777" w:rsidTr="001E6D49">
        <w:trPr>
          <w:trHeight w:val="600"/>
        </w:trPr>
        <w:tc>
          <w:tcPr>
            <w:tcW w:w="644" w:type="dxa"/>
            <w:noWrap/>
            <w:vAlign w:val="center"/>
            <w:hideMark/>
          </w:tcPr>
          <w:p w14:paraId="7090F034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174</w:t>
            </w:r>
          </w:p>
        </w:tc>
        <w:tc>
          <w:tcPr>
            <w:tcW w:w="3394" w:type="dxa"/>
            <w:vAlign w:val="center"/>
            <w:hideMark/>
          </w:tcPr>
          <w:p w14:paraId="035BDEC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Balde graduado de polipropileno - Capacidade 20 L</w:t>
            </w:r>
          </w:p>
        </w:tc>
        <w:tc>
          <w:tcPr>
            <w:tcW w:w="823" w:type="dxa"/>
            <w:vAlign w:val="center"/>
            <w:hideMark/>
          </w:tcPr>
          <w:p w14:paraId="767E0A59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559" w:type="dxa"/>
            <w:noWrap/>
            <w:vAlign w:val="center"/>
            <w:hideMark/>
          </w:tcPr>
          <w:p w14:paraId="5C5FEFE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  <w:hideMark/>
          </w:tcPr>
          <w:p w14:paraId="6783E050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49414404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3D314A52" w14:textId="77777777" w:rsidTr="001E6D49">
        <w:trPr>
          <w:trHeight w:val="600"/>
        </w:trPr>
        <w:tc>
          <w:tcPr>
            <w:tcW w:w="644" w:type="dxa"/>
            <w:noWrap/>
            <w:vAlign w:val="center"/>
          </w:tcPr>
          <w:p w14:paraId="5B0C961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175</w:t>
            </w:r>
          </w:p>
        </w:tc>
        <w:tc>
          <w:tcPr>
            <w:tcW w:w="3394" w:type="dxa"/>
            <w:vAlign w:val="center"/>
          </w:tcPr>
          <w:p w14:paraId="0CE7999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Microtubo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de Centrifugação 0,65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mL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(tipo </w:t>
            </w:r>
            <w:proofErr w:type="spellStart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eppendorf</w:t>
            </w:r>
            <w:proofErr w:type="spellEnd"/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823" w:type="dxa"/>
            <w:vAlign w:val="center"/>
          </w:tcPr>
          <w:p w14:paraId="2BFC4BDD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</w:t>
            </w:r>
          </w:p>
        </w:tc>
        <w:tc>
          <w:tcPr>
            <w:tcW w:w="1559" w:type="dxa"/>
            <w:noWrap/>
            <w:vAlign w:val="center"/>
          </w:tcPr>
          <w:p w14:paraId="08F7297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</w:tcPr>
          <w:p w14:paraId="0CFF6FD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3E722CE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6FDAFFD7" w14:textId="77777777" w:rsidTr="001E6D49">
        <w:trPr>
          <w:trHeight w:val="600"/>
        </w:trPr>
        <w:tc>
          <w:tcPr>
            <w:tcW w:w="644" w:type="dxa"/>
            <w:noWrap/>
            <w:vAlign w:val="center"/>
          </w:tcPr>
          <w:p w14:paraId="26FD12AB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176</w:t>
            </w:r>
          </w:p>
        </w:tc>
        <w:tc>
          <w:tcPr>
            <w:tcW w:w="3394" w:type="dxa"/>
            <w:vAlign w:val="center"/>
          </w:tcPr>
          <w:p w14:paraId="55C1ECA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Sílica Gel Azul PA (4 a 8 mm)</w:t>
            </w:r>
          </w:p>
        </w:tc>
        <w:tc>
          <w:tcPr>
            <w:tcW w:w="823" w:type="dxa"/>
            <w:vAlign w:val="center"/>
          </w:tcPr>
          <w:p w14:paraId="0BA0CE43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10000</w:t>
            </w:r>
          </w:p>
        </w:tc>
        <w:tc>
          <w:tcPr>
            <w:tcW w:w="1559" w:type="dxa"/>
            <w:noWrap/>
            <w:vAlign w:val="center"/>
          </w:tcPr>
          <w:p w14:paraId="3315A307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1418" w:type="dxa"/>
            <w:noWrap/>
            <w:vAlign w:val="center"/>
          </w:tcPr>
          <w:p w14:paraId="601C105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2FABE0C7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406C8C5" w14:textId="77777777" w:rsidTr="001E6D49">
        <w:trPr>
          <w:trHeight w:val="600"/>
        </w:trPr>
        <w:tc>
          <w:tcPr>
            <w:tcW w:w="644" w:type="dxa"/>
            <w:noWrap/>
            <w:vAlign w:val="center"/>
          </w:tcPr>
          <w:p w14:paraId="3F95DB3C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sz w:val="16"/>
                <w:szCs w:val="16"/>
              </w:rPr>
              <w:t>177</w:t>
            </w:r>
          </w:p>
        </w:tc>
        <w:tc>
          <w:tcPr>
            <w:tcW w:w="3394" w:type="dxa"/>
            <w:vAlign w:val="center"/>
          </w:tcPr>
          <w:p w14:paraId="730857A6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Tampa com septo para frasco de TOC</w:t>
            </w:r>
          </w:p>
        </w:tc>
        <w:tc>
          <w:tcPr>
            <w:tcW w:w="823" w:type="dxa"/>
            <w:vAlign w:val="center"/>
          </w:tcPr>
          <w:p w14:paraId="221766C1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3000</w:t>
            </w:r>
          </w:p>
        </w:tc>
        <w:tc>
          <w:tcPr>
            <w:tcW w:w="1559" w:type="dxa"/>
            <w:noWrap/>
            <w:vAlign w:val="center"/>
          </w:tcPr>
          <w:p w14:paraId="76CDBFDE" w14:textId="77777777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418" w:type="dxa"/>
            <w:noWrap/>
            <w:vAlign w:val="center"/>
          </w:tcPr>
          <w:p w14:paraId="4E46ABF9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  <w:tc>
          <w:tcPr>
            <w:tcW w:w="1235" w:type="dxa"/>
            <w:vAlign w:val="center"/>
          </w:tcPr>
          <w:p w14:paraId="084040E8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1E6D49" w:rsidRPr="001E6D49" w14:paraId="279E5AD8" w14:textId="77777777" w:rsidTr="001E6D49">
        <w:trPr>
          <w:trHeight w:val="600"/>
        </w:trPr>
        <w:tc>
          <w:tcPr>
            <w:tcW w:w="7838" w:type="dxa"/>
            <w:gridSpan w:val="5"/>
            <w:noWrap/>
            <w:vAlign w:val="center"/>
          </w:tcPr>
          <w:p w14:paraId="40F2F360" w14:textId="7D7D5AB2" w:rsidR="001E6D49" w:rsidRPr="001E6D49" w:rsidRDefault="001E6D49" w:rsidP="001E6D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 w:rsidRPr="001E6D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VALOR TOTAL</w:t>
            </w:r>
          </w:p>
        </w:tc>
        <w:tc>
          <w:tcPr>
            <w:tcW w:w="1235" w:type="dxa"/>
            <w:vAlign w:val="center"/>
          </w:tcPr>
          <w:p w14:paraId="436F806B" w14:textId="77777777" w:rsidR="001E6D49" w:rsidRPr="001E6D49" w:rsidRDefault="001E6D49" w:rsidP="00CD3E3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7A5CDC2E" w:rsidR="001B4C30" w:rsidRPr="00771F0D" w:rsidRDefault="00771F0D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</w:t>
      </w: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Contrato é de </w:t>
      </w:r>
      <w:bookmarkStart w:id="1" w:name="_Hlk15568169"/>
      <w:r w:rsidR="00A11389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A11389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42052B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</w:t>
      </w: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eses</w:t>
      </w:r>
      <w:bookmarkEnd w:id="1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4F83C6C3" w:rsidR="006E3CA5" w:rsidRDefault="0070059F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</w:t>
      </w: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contratação estão programadas em dotação orçamentária própria, prevista no orçamento da </w:t>
      </w:r>
      <w:r w:rsidR="00C35976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054A01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01.01.422682.284.2204039000.20006.00.00</w:t>
      </w:r>
      <w:r w:rsidR="00AE367E"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1A376524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6112CBC4" w14:textId="77777777" w:rsidR="0050412E" w:rsidRDefault="0050412E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104AF2A0" w:rsidR="0070059F" w:rsidRPr="008513F6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11389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17BD9413" w:rsidR="0070059F" w:rsidRPr="008513F6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A1138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53076098" w:rsidR="00224134" w:rsidRPr="00054A01" w:rsidRDefault="00224134" w:rsidP="001E6D49">
      <w:pPr>
        <w:pStyle w:val="Nivel1"/>
        <w:numPr>
          <w:ilvl w:val="0"/>
          <w:numId w:val="3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A11389" w:rsidRPr="00054A01">
        <w:rPr>
          <w:rFonts w:ascii="Times New Roman" w:hAnsi="Times New Roman"/>
          <w:color w:val="000000" w:themeColor="text1"/>
          <w:sz w:val="22"/>
          <w:szCs w:val="22"/>
        </w:rPr>
        <w:t>PRIMEIRA</w:t>
      </w:r>
      <w:r w:rsidRPr="00054A01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054A01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054A01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054A01" w:rsidRDefault="00224134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054A01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2AD99107" w:rsidR="00224134" w:rsidRPr="00054A01" w:rsidRDefault="00224134" w:rsidP="001E6D49">
      <w:pPr>
        <w:pStyle w:val="Nivel1"/>
        <w:numPr>
          <w:ilvl w:val="0"/>
          <w:numId w:val="3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054A01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054A01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A11389" w:rsidRPr="00054A01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054A01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054A01" w:rsidRDefault="00224134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54A01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15381C2A" w:rsidR="00224134" w:rsidRPr="00AE367E" w:rsidRDefault="00224134" w:rsidP="001E6D49">
      <w:pPr>
        <w:pStyle w:val="Nivel1"/>
        <w:numPr>
          <w:ilvl w:val="0"/>
          <w:numId w:val="3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A11389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545211E2" w:rsidR="00224134" w:rsidRPr="00913B41" w:rsidRDefault="00224134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4DC5F3A" w:rsidR="0070059F" w:rsidRPr="00FF578B" w:rsidRDefault="0070059F" w:rsidP="001E6D49">
      <w:pPr>
        <w:pStyle w:val="Nivel1"/>
        <w:numPr>
          <w:ilvl w:val="0"/>
          <w:numId w:val="3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A11389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</w:p>
    <w:p w14:paraId="08A0E5D3" w14:textId="77777777" w:rsidR="00FA65D6" w:rsidRPr="003A5F6E" w:rsidRDefault="00FA65D6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1D98BF55" w:rsidR="0070059F" w:rsidRPr="003A5F6E" w:rsidRDefault="0070059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A11389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3F0FF866" w14:textId="3FE8B9CA" w:rsidR="00FA5ED3" w:rsidRDefault="00FA5ED3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Sem prejuízo da aplicação das sanções previstas na Cláusula Décima </w:t>
      </w:r>
      <w:r w:rsidR="00A11389">
        <w:rPr>
          <w:rFonts w:ascii="Times New Roman" w:hAnsi="Times New Roman" w:cs="Times New Roman"/>
          <w:sz w:val="22"/>
          <w:szCs w:val="22"/>
        </w:rPr>
        <w:t>Quarta</w:t>
      </w:r>
      <w:r w:rsidRPr="00FA5ED3">
        <w:rPr>
          <w:rFonts w:ascii="Times New Roman" w:hAnsi="Times New Roman" w:cs="Times New Roman"/>
          <w:sz w:val="22"/>
          <w:szCs w:val="22"/>
        </w:rPr>
        <w:t>, o presente Termo de Contrato poderá ser rescindido nas seguintes hipóteses:</w:t>
      </w:r>
    </w:p>
    <w:p w14:paraId="3E6B49F2" w14:textId="3CEAA9A1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Não cumprimento de cláusulas contratuais, especificações, projetos ou prazos</w:t>
      </w:r>
      <w:r w:rsidR="00963E45">
        <w:rPr>
          <w:rFonts w:ascii="Times New Roman" w:hAnsi="Times New Roman" w:cs="Times New Roman"/>
          <w:sz w:val="22"/>
          <w:szCs w:val="22"/>
        </w:rPr>
        <w:t xml:space="preserve"> de forma total ou parcial</w:t>
      </w:r>
      <w:r w:rsidRPr="00FA5ED3">
        <w:rPr>
          <w:rFonts w:ascii="Times New Roman" w:hAnsi="Times New Roman" w:cs="Times New Roman"/>
          <w:sz w:val="22"/>
          <w:szCs w:val="22"/>
        </w:rPr>
        <w:t>;</w:t>
      </w:r>
    </w:p>
    <w:p w14:paraId="35009112" w14:textId="0A7F18E5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Decretação de falência ou a instauração de insolvência civil; </w:t>
      </w:r>
    </w:p>
    <w:p w14:paraId="71CA364E" w14:textId="48EACE46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</w:t>
      </w:r>
    </w:p>
    <w:p w14:paraId="75923536" w14:textId="6DB5261D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lesivos à Administração Pública previstos na Lei nº 12.846/2013; </w:t>
      </w:r>
    </w:p>
    <w:p w14:paraId="05104198" w14:textId="5984234A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Inobservância da vedação ao nepotismo; </w:t>
      </w:r>
    </w:p>
    <w:p w14:paraId="5BB12A20" w14:textId="3D4AB85B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que prejudiquem ou comprometam à imagem ou reputação da Hemobrás, direta ou indiretamente. </w:t>
      </w:r>
    </w:p>
    <w:p w14:paraId="36A9F986" w14:textId="2FB8B4F3" w:rsidR="00FA5ED3" w:rsidRPr="00FA5ED3" w:rsidRDefault="00FA5ED3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Os casos de rescisão contratual serão formalmente motivados, assegurando-se </w:t>
      </w:r>
      <w:r w:rsidR="00963E45">
        <w:rPr>
          <w:rFonts w:ascii="Times New Roman" w:hAnsi="Times New Roman" w:cs="Times New Roman"/>
          <w:sz w:val="22"/>
          <w:szCs w:val="22"/>
        </w:rPr>
        <w:t xml:space="preserve">o direito </w:t>
      </w:r>
      <w:r w:rsidRPr="00FA5ED3">
        <w:rPr>
          <w:rFonts w:ascii="Times New Roman" w:hAnsi="Times New Roman" w:cs="Times New Roman"/>
          <w:sz w:val="22"/>
          <w:szCs w:val="22"/>
        </w:rPr>
        <w:t xml:space="preserve">à </w:t>
      </w:r>
      <w:r w:rsidR="00963E45">
        <w:rPr>
          <w:rFonts w:ascii="Times New Roman" w:hAnsi="Times New Roman" w:cs="Times New Roman"/>
          <w:sz w:val="22"/>
          <w:szCs w:val="22"/>
        </w:rPr>
        <w:t>p</w:t>
      </w:r>
      <w:r w:rsidRPr="00FA5ED3">
        <w:rPr>
          <w:rFonts w:ascii="Times New Roman" w:hAnsi="Times New Roman" w:cs="Times New Roman"/>
          <w:sz w:val="22"/>
          <w:szCs w:val="22"/>
        </w:rPr>
        <w:t>révia e ampla defesa.</w:t>
      </w:r>
    </w:p>
    <w:p w14:paraId="31D652BC" w14:textId="1EE04F99" w:rsidR="00FA5ED3" w:rsidRPr="00FA5ED3" w:rsidRDefault="00FA5ED3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lastRenderedPageBreak/>
        <w:t>A CONTRATADA reconhece os direitos da Hemobrás em caso de rescisão administrativa prevista neste instrumento de contrato, e as previstas na lei e no Regulamento de Licitações e Contratos da Hemobrás.</w:t>
      </w:r>
    </w:p>
    <w:p w14:paraId="0630D3F6" w14:textId="1E5A6645" w:rsidR="00FA5ED3" w:rsidRPr="00FA5ED3" w:rsidRDefault="00FA5ED3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1A4039CB" w14:textId="50AC8EAF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2CF5E7C8" w14:textId="09D72316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70C99E9F" w14:textId="1D69B92B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01D73818" w14:textId="7BF1669B" w:rsidR="00FA5ED3" w:rsidRPr="00FA5ED3" w:rsidRDefault="00FA5ED3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388FADC9" w14:textId="76FA4D27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7B0AD348" w14:textId="7B6ED351" w:rsidR="00FA5ED3" w:rsidRP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2790CA1A" w14:textId="65ADB7E5" w:rsidR="00FA5ED3" w:rsidRDefault="00FA5ED3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Por determinação judicial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24108168" w:rsidR="00A52E7C" w:rsidRPr="008513F6" w:rsidRDefault="00A52E7C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A11389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2540E4A5" w:rsidR="00A52E7C" w:rsidRDefault="00A52E7C" w:rsidP="001E6D49">
      <w:pPr>
        <w:pStyle w:val="PargrafodaLista"/>
        <w:numPr>
          <w:ilvl w:val="2"/>
          <w:numId w:val="3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5904876" w14:textId="77777777" w:rsidR="007930D8" w:rsidRDefault="007930D8" w:rsidP="007930D8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2F1ED37E" w:rsidR="00224134" w:rsidRPr="00FF578B" w:rsidRDefault="00224134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11389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22D0345D" w:rsidR="000D6C4C" w:rsidRPr="003F29C4" w:rsidRDefault="000D6C4C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A11389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524DDF34" w:rsidR="007B70CF" w:rsidRPr="008513F6" w:rsidRDefault="007B70CF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A11389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09953592" w:rsidR="007B70CF" w:rsidRDefault="007B70CF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7F65C700" w:rsidR="0070059F" w:rsidRPr="008513F6" w:rsidRDefault="000D6C4C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A1138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43177550" w:rsidR="0068362E" w:rsidRPr="008513F6" w:rsidRDefault="0068362E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A11389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72A68631" w:rsidR="00362BD8" w:rsidRPr="008513F6" w:rsidRDefault="00362BD8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A11389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 CONTRATADA se compromete a tratar os dados dispostos no presente contrato apenas para a estrita e exclusiva finalidade e necessidade da realização do objeto do contrato. A CONTRATADA deverá manter todas as informações deste Contrato sob sigilo e não deve </w:t>
      </w:r>
      <w:r w:rsidRPr="00362BD8">
        <w:rPr>
          <w:rFonts w:ascii="Times New Roman" w:hAnsi="Times New Roman" w:cs="Times New Roman"/>
          <w:sz w:val="22"/>
          <w:szCs w:val="22"/>
        </w:rPr>
        <w:lastRenderedPageBreak/>
        <w:t>compartilhar e disponibilizar tais informações com terceiros sem a prévia autorização expressa da HEMOBRÁS.</w:t>
      </w:r>
    </w:p>
    <w:p w14:paraId="69C065FB" w14:textId="77777777" w:rsidR="00362BD8" w:rsidRPr="00362BD8" w:rsidRDefault="00362BD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1FDA40D7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7D7B5ABC" w:rsidR="0070059F" w:rsidRPr="008513F6" w:rsidRDefault="000D6C4C" w:rsidP="001E6D49">
      <w:pPr>
        <w:pStyle w:val="PargrafodaLista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A11389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1E6D49">
      <w:pPr>
        <w:pStyle w:val="PargrafodaLista"/>
        <w:numPr>
          <w:ilvl w:val="1"/>
          <w:numId w:val="3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2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  <w:bookmarkEnd w:id="0"/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8039EB">
      <w:headerReference w:type="default" r:id="rId7"/>
      <w:footerReference w:type="default" r:id="rId8"/>
      <w:pgSz w:w="11906" w:h="16838"/>
      <w:pgMar w:top="1418" w:right="1134" w:bottom="141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Trebuchet MS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9616900"/>
      <w:docPartObj>
        <w:docPartGallery w:val="Page Numbers (Top of Page)"/>
        <w:docPartUnique/>
      </w:docPartObj>
    </w:sdtPr>
    <w:sdtEndPr/>
    <w:sdtContent>
      <w:p w14:paraId="53CD7CAB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Boa Viagem Corporate, Rua Prof. Aloisio Pessoa de Araújo, 75, 8º e 9º andares, Boa Viagem, Recife-PE</w:t>
        </w:r>
      </w:p>
      <w:p w14:paraId="0D349E77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CEP: 51021-410 | Telefone: (81) 3464-9600 | www.hemobras.gov.br</w:t>
        </w:r>
      </w:p>
      <w:p w14:paraId="36AFF5C0" w14:textId="77777777" w:rsidR="008039EB" w:rsidRPr="007E518D" w:rsidRDefault="008039EB" w:rsidP="008039EB">
        <w:pPr>
          <w:pStyle w:val="Rodap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Página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de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8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  <w:p w14:paraId="17739B46" w14:textId="7CE2A112" w:rsidR="008039EB" w:rsidRPr="007E518D" w:rsidRDefault="00177AEE" w:rsidP="008039EB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Modelo padronizado </w:t>
        </w:r>
        <w:r w:rsidR="00156835" w:rsidRPr="007E518D">
          <w:rPr>
            <w:rFonts w:ascii="Times New Roman" w:hAnsi="Times New Roman" w:cs="Times New Roman"/>
            <w:sz w:val="16"/>
            <w:szCs w:val="16"/>
          </w:rPr>
          <w:t>–</w:t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039EB" w:rsidRPr="007E518D">
          <w:rPr>
            <w:rFonts w:ascii="Times New Roman" w:hAnsi="Times New Roman" w:cs="Times New Roman"/>
            <w:sz w:val="16"/>
            <w:szCs w:val="16"/>
          </w:rPr>
          <w:t>Minuta de Contrato</w:t>
        </w:r>
      </w:p>
      <w:p w14:paraId="49187BB6" w14:textId="1E9BBAF2" w:rsidR="008039EB" w:rsidRDefault="008039EB" w:rsidP="008039EB">
        <w:pPr>
          <w:pStyle w:val="Rodap"/>
          <w:ind w:left="964" w:hanging="680"/>
          <w:jc w:val="right"/>
        </w:pPr>
        <w:r w:rsidRPr="007E518D">
          <w:rPr>
            <w:rFonts w:ascii="Times New Roman" w:hAnsi="Times New Roman" w:cs="Times New Roman"/>
            <w:sz w:val="16"/>
            <w:szCs w:val="16"/>
          </w:rPr>
          <w:t>Versão – Novembro/2023 –</w:t>
        </w:r>
        <w:r w:rsidR="00177AEE" w:rsidRPr="007E518D">
          <w:rPr>
            <w:rFonts w:ascii="Times New Roman" w:hAnsi="Times New Roman" w:cs="Times New Roman"/>
            <w:sz w:val="16"/>
            <w:szCs w:val="16"/>
          </w:rPr>
          <w:t xml:space="preserve"> A</w:t>
        </w:r>
        <w:r w:rsidRPr="007E518D">
          <w:rPr>
            <w:rFonts w:ascii="Times New Roman" w:hAnsi="Times New Roman" w:cs="Times New Roman"/>
            <w:sz w:val="16"/>
            <w:szCs w:val="16"/>
          </w:rPr>
          <w:t>provado pelo Parecer Jurídico 1</w:t>
        </w:r>
        <w:r w:rsidR="00A32272">
          <w:rPr>
            <w:rFonts w:ascii="Times New Roman" w:hAnsi="Times New Roman" w:cs="Times New Roman"/>
            <w:sz w:val="16"/>
            <w:szCs w:val="16"/>
          </w:rPr>
          <w:t>6</w:t>
        </w:r>
        <w:r w:rsidRPr="007E518D">
          <w:rPr>
            <w:rFonts w:ascii="Times New Roman" w:hAnsi="Times New Roman" w:cs="Times New Roman"/>
            <w:sz w:val="16"/>
            <w:szCs w:val="16"/>
          </w:rPr>
          <w:t>1/2023/PJ/Hemobrás</w:t>
        </w:r>
      </w:p>
    </w:sdtContent>
  </w:sdt>
  <w:p w14:paraId="3805BFE1" w14:textId="77777777" w:rsidR="008039EB" w:rsidRDefault="008039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12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A01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E471F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3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AEE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E6D49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8E2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36FA"/>
    <w:rsid w:val="004E79BB"/>
    <w:rsid w:val="004F1A48"/>
    <w:rsid w:val="004F5DF9"/>
    <w:rsid w:val="004F66B4"/>
    <w:rsid w:val="004F78C6"/>
    <w:rsid w:val="0050224C"/>
    <w:rsid w:val="005037A6"/>
    <w:rsid w:val="0050412E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30D8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C3476"/>
    <w:rsid w:val="007D33AF"/>
    <w:rsid w:val="007D3572"/>
    <w:rsid w:val="007D3C6C"/>
    <w:rsid w:val="007D501A"/>
    <w:rsid w:val="007D6832"/>
    <w:rsid w:val="007E3F65"/>
    <w:rsid w:val="007E518D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39EB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63E45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356D"/>
    <w:rsid w:val="00A055A5"/>
    <w:rsid w:val="00A11389"/>
    <w:rsid w:val="00A12A7C"/>
    <w:rsid w:val="00A1330E"/>
    <w:rsid w:val="00A17F88"/>
    <w:rsid w:val="00A245AE"/>
    <w:rsid w:val="00A26A56"/>
    <w:rsid w:val="00A27DA5"/>
    <w:rsid w:val="00A30058"/>
    <w:rsid w:val="00A32272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44DC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307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37551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5ED3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8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E6D49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E6D49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sz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E6D49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E6D49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qFormat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uiPriority w:val="9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qFormat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qFormat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aliases w:val="Marcadores PDTI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aliases w:val="Marcadores PDTI Char"/>
    <w:basedOn w:val="Fontepargpadro"/>
    <w:link w:val="PargrafodaLista"/>
    <w:uiPriority w:val="34"/>
    <w:qFormat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qFormat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E6D49"/>
    <w:rPr>
      <w:rFonts w:ascii="Calibri" w:eastAsia="Calibri" w:hAnsi="Calibri" w:cs="Calibri"/>
      <w:b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E6D49"/>
    <w:rPr>
      <w:rFonts w:ascii="Calibri" w:eastAsia="Calibri" w:hAnsi="Calibri" w:cs="Calibri"/>
      <w:b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E6D49"/>
    <w:rPr>
      <w:rFonts w:ascii="Calibri" w:eastAsia="Calibri" w:hAnsi="Calibri" w:cs="Calibri"/>
      <w:b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E6D49"/>
    <w:rPr>
      <w:rFonts w:ascii="Calibri" w:eastAsia="Calibri" w:hAnsi="Calibri" w:cs="Calibri"/>
      <w:b/>
    </w:rPr>
  </w:style>
  <w:style w:type="character" w:customStyle="1" w:styleId="TextodebaloChar1">
    <w:name w:val="Texto de balão Char1"/>
    <w:basedOn w:val="Fontepargpadro"/>
    <w:uiPriority w:val="99"/>
    <w:semiHidden/>
    <w:rsid w:val="001E6D49"/>
    <w:rPr>
      <w:rFonts w:ascii="Segoe UI" w:hAnsi="Segoe UI" w:cs="Segoe UI"/>
      <w:sz w:val="18"/>
      <w:szCs w:val="18"/>
    </w:rPr>
  </w:style>
  <w:style w:type="character" w:customStyle="1" w:styleId="LinkdaInternet">
    <w:name w:val="Link da Internet"/>
    <w:rsid w:val="001E6D49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1E6D49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1E6D4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1E6D49"/>
    <w:rPr>
      <w:rFonts w:ascii="Arial" w:hAnsi="Arial" w:cs="Tahoma"/>
      <w:i/>
      <w:iCs/>
      <w:color w:val="404040" w:themeColor="text1" w:themeTint="BF"/>
      <w:szCs w:val="24"/>
    </w:rPr>
  </w:style>
  <w:style w:type="character" w:customStyle="1" w:styleId="CabealhoChar1">
    <w:name w:val="Cabeçalho Char1"/>
    <w:basedOn w:val="Fontepargpadro"/>
    <w:uiPriority w:val="99"/>
    <w:semiHidden/>
    <w:rsid w:val="001E6D49"/>
    <w:rPr>
      <w:rFonts w:ascii="Arial" w:hAnsi="Arial" w:cs="Tahoma"/>
      <w:szCs w:val="24"/>
    </w:rPr>
  </w:style>
  <w:style w:type="character" w:customStyle="1" w:styleId="RodapChar1">
    <w:name w:val="Rodapé Char1"/>
    <w:basedOn w:val="Fontepargpadro"/>
    <w:uiPriority w:val="99"/>
    <w:semiHidden/>
    <w:rsid w:val="001E6D49"/>
    <w:rPr>
      <w:rFonts w:ascii="Arial" w:hAnsi="Arial" w:cs="Tahoma"/>
      <w:szCs w:val="24"/>
    </w:rPr>
  </w:style>
  <w:style w:type="character" w:customStyle="1" w:styleId="TextodecomentrioChar1">
    <w:name w:val="Texto de comentário Char1"/>
    <w:basedOn w:val="Fontepargpadro"/>
    <w:uiPriority w:val="99"/>
    <w:semiHidden/>
    <w:rsid w:val="001E6D49"/>
    <w:rPr>
      <w:rFonts w:ascii="Arial" w:hAnsi="Arial" w:cs="Tahoma"/>
    </w:rPr>
  </w:style>
  <w:style w:type="character" w:customStyle="1" w:styleId="Corpodetexto3Char">
    <w:name w:val="Corpo de texto 3 Char"/>
    <w:basedOn w:val="Fontepargpadro"/>
    <w:link w:val="Corpodetexto3"/>
    <w:qFormat/>
    <w:rsid w:val="001E6D49"/>
    <w:rPr>
      <w:kern w:val="2"/>
      <w:sz w:val="28"/>
      <w:szCs w:val="28"/>
    </w:rPr>
  </w:style>
  <w:style w:type="paragraph" w:styleId="Corpodetexto3">
    <w:name w:val="Body Text 3"/>
    <w:basedOn w:val="Normal"/>
    <w:link w:val="Corpodetexto3Char"/>
    <w:qFormat/>
    <w:rsid w:val="001E6D49"/>
    <w:pPr>
      <w:suppressAutoHyphens/>
      <w:textAlignment w:val="baseline"/>
    </w:pPr>
    <w:rPr>
      <w:rFonts w:ascii="Times New Roman" w:hAnsi="Times New Roman" w:cs="Times New Roman"/>
      <w:kern w:val="2"/>
      <w:sz w:val="28"/>
      <w:szCs w:val="28"/>
    </w:rPr>
  </w:style>
  <w:style w:type="character" w:customStyle="1" w:styleId="Corpodetexto3Char1">
    <w:name w:val="Corpo de texto 3 Char1"/>
    <w:basedOn w:val="Fontepargpadro"/>
    <w:uiPriority w:val="99"/>
    <w:semiHidden/>
    <w:rsid w:val="001E6D49"/>
    <w:rPr>
      <w:rFonts w:ascii="Arial" w:hAnsi="Arial" w:cs="Tahoma"/>
      <w:sz w:val="16"/>
      <w:szCs w:val="16"/>
    </w:rPr>
  </w:style>
  <w:style w:type="character" w:customStyle="1" w:styleId="Nivel01Char">
    <w:name w:val="Nivel 01 Char"/>
    <w:basedOn w:val="Ttulo1Char"/>
    <w:link w:val="Nivel01"/>
    <w:qFormat/>
    <w:rsid w:val="001E6D49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customStyle="1" w:styleId="Nivel01">
    <w:name w:val="Nivel 01"/>
    <w:basedOn w:val="Ttulo1"/>
    <w:next w:val="Normal"/>
    <w:link w:val="Nivel01Char"/>
    <w:qFormat/>
    <w:rsid w:val="001E6D49"/>
    <w:pPr>
      <w:suppressAutoHyphens/>
      <w:spacing w:after="120" w:line="276" w:lineRule="auto"/>
      <w:ind w:left="360" w:right="-15" w:hanging="360"/>
      <w:jc w:val="both"/>
    </w:pPr>
    <w:rPr>
      <w:rFonts w:ascii="Arial" w:hAnsi="Arial"/>
      <w:color w:val="000000"/>
      <w:sz w:val="32"/>
      <w:szCs w:val="32"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1E6D49"/>
    <w:rPr>
      <w:rFonts w:ascii="Arial" w:hAnsi="Arial" w:cs="Tahoma"/>
      <w:b/>
      <w:bCs/>
    </w:rPr>
  </w:style>
  <w:style w:type="character" w:customStyle="1" w:styleId="QuoteChar">
    <w:name w:val="Quote Char"/>
    <w:link w:val="Citao1"/>
    <w:uiPriority w:val="99"/>
    <w:qFormat/>
    <w:rsid w:val="001E6D49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1E6D4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styleId="Ttulo">
    <w:name w:val="Title"/>
    <w:basedOn w:val="Normal"/>
    <w:next w:val="Corpodetexto"/>
    <w:link w:val="TtuloChar"/>
    <w:uiPriority w:val="10"/>
    <w:qFormat/>
    <w:rsid w:val="001E6D49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1E6D49"/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rsid w:val="001E6D49"/>
    <w:pPr>
      <w:suppressAutoHyphens/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rsid w:val="001E6D49"/>
    <w:rPr>
      <w:rFonts w:ascii="Arial" w:hAnsi="Arial" w:cs="Tahoma"/>
      <w:szCs w:val="24"/>
    </w:rPr>
  </w:style>
  <w:style w:type="paragraph" w:styleId="Lista">
    <w:name w:val="List"/>
    <w:basedOn w:val="Corpodetexto"/>
    <w:rsid w:val="001E6D49"/>
    <w:rPr>
      <w:rFonts w:cs="Lucida Sans"/>
    </w:rPr>
  </w:style>
  <w:style w:type="paragraph" w:styleId="Legenda">
    <w:name w:val="caption"/>
    <w:basedOn w:val="Normal"/>
    <w:qFormat/>
    <w:rsid w:val="001E6D49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ndice">
    <w:name w:val="Índice"/>
    <w:basedOn w:val="Normal"/>
    <w:qFormat/>
    <w:rsid w:val="001E6D49"/>
    <w:pPr>
      <w:suppressLineNumbers/>
      <w:suppressAutoHyphen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1E6D49"/>
    <w:pPr>
      <w:suppressAutoHyphens/>
    </w:pPr>
  </w:style>
  <w:style w:type="paragraph" w:customStyle="1" w:styleId="PargrafodaLista1">
    <w:name w:val="Parágrafo da Lista1"/>
    <w:basedOn w:val="Normal"/>
    <w:qFormat/>
    <w:rsid w:val="001E6D49"/>
    <w:pPr>
      <w:suppressAutoHyphens/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artigo">
    <w:name w:val="artigo"/>
    <w:basedOn w:val="Normal"/>
    <w:qFormat/>
    <w:rsid w:val="001E6D49"/>
    <w:pPr>
      <w:suppressAutoHyphens/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PADRO">
    <w:name w:val="PADRÃO"/>
    <w:qFormat/>
    <w:rsid w:val="001E6D49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table" w:styleId="Tabelacomgrade">
    <w:name w:val="Table Grid"/>
    <w:basedOn w:val="Tabelanormal"/>
    <w:uiPriority w:val="39"/>
    <w:rsid w:val="001E6D49"/>
    <w:pPr>
      <w:suppressAutoHyphens/>
    </w:pPr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1E6D49"/>
    <w:pPr>
      <w:suppressAutoHyphens/>
    </w:pPr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Marcas">
    <w:name w:val="Marcas"/>
    <w:qFormat/>
    <w:rsid w:val="001E6D49"/>
    <w:rPr>
      <w:rFonts w:ascii="OpenSymbol" w:eastAsia="OpenSymbol" w:hAnsi="OpenSymbol" w:cs="OpenSymbol"/>
    </w:rPr>
  </w:style>
  <w:style w:type="paragraph" w:customStyle="1" w:styleId="Contedodatabela">
    <w:name w:val="Conteúdo da tabela"/>
    <w:basedOn w:val="Normal"/>
    <w:qFormat/>
    <w:rsid w:val="001E6D49"/>
    <w:pPr>
      <w:suppressLineNumbers/>
      <w:suppressAutoHyphens/>
    </w:pPr>
  </w:style>
  <w:style w:type="paragraph" w:customStyle="1" w:styleId="Ttulodetabela">
    <w:name w:val="Título de tabela"/>
    <w:basedOn w:val="Contedodatabela"/>
    <w:qFormat/>
    <w:rsid w:val="001E6D49"/>
    <w:pPr>
      <w:jc w:val="center"/>
    </w:pPr>
    <w:rPr>
      <w:b/>
      <w:bCs/>
    </w:rPr>
  </w:style>
  <w:style w:type="paragraph" w:styleId="SemEspaamento">
    <w:name w:val="No Spacing"/>
    <w:uiPriority w:val="1"/>
    <w:qFormat/>
    <w:rsid w:val="001E6D4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rsid w:val="001E6D49"/>
    <w:pPr>
      <w:spacing w:after="160" w:line="259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har"/>
    <w:uiPriority w:val="11"/>
    <w:qFormat/>
    <w:rsid w:val="001E6D49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basedOn w:val="Fontepargpadro"/>
    <w:link w:val="Subttulo"/>
    <w:uiPriority w:val="11"/>
    <w:rsid w:val="001E6D49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Normal"/>
    <w:uiPriority w:val="1"/>
    <w:qFormat/>
    <w:rsid w:val="001E6D49"/>
    <w:pPr>
      <w:widowControl w:val="0"/>
      <w:autoSpaceDE w:val="0"/>
      <w:autoSpaceDN w:val="0"/>
      <w:ind w:left="110"/>
    </w:pPr>
    <w:rPr>
      <w:rFonts w:ascii="Arial MT" w:eastAsia="Arial MT" w:hAnsi="Arial MT" w:cs="Arial MT"/>
      <w:sz w:val="22"/>
      <w:szCs w:val="22"/>
      <w:lang w:val="pt-PT"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1E6D49"/>
    <w:pPr>
      <w:suppressAutoHyphens/>
    </w:pPr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72</TotalTime>
  <Pages>16</Pages>
  <Words>3488</Words>
  <Characters>18315</Characters>
  <Application>Microsoft Office Word</Application>
  <DocSecurity>0</DocSecurity>
  <Lines>152</Lines>
  <Paragraphs>43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28</cp:revision>
  <cp:lastPrinted>2017-09-20T20:17:00Z</cp:lastPrinted>
  <dcterms:created xsi:type="dcterms:W3CDTF">2023-01-05T12:56:00Z</dcterms:created>
  <dcterms:modified xsi:type="dcterms:W3CDTF">2025-11-04T16:34:00Z</dcterms:modified>
</cp:coreProperties>
</file>