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right="-17" w:hanging="0"/>
        <w:contextualSpacing/>
        <w:jc w:val="center"/>
        <w:rPr>
          <w:b w:val="false"/>
          <w:b w:val="false"/>
          <w:bCs w:val="false"/>
          <w:u w:val="single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  <w:u w:val="single"/>
        </w:rPr>
        <w:t>Anexo II do Edital</w:t>
      </w:r>
    </w:p>
    <w:p>
      <w:pPr>
        <w:pStyle w:val="Normal"/>
        <w:spacing w:lineRule="auto" w:line="360" w:before="0" w:after="0"/>
        <w:ind w:right="-17" w:hanging="0"/>
        <w:contextualSpacing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MINUTA DE CONTRATO</w:t>
      </w:r>
    </w:p>
    <w:p>
      <w:pPr>
        <w:pStyle w:val="Normal"/>
        <w:spacing w:lineRule="auto" w:line="360" w:before="0" w:after="0"/>
        <w:ind w:right="-17" w:hanging="0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(Processo Administrativo n. 25800.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>/20</w:t>
      </w:r>
      <w:r>
        <w:rPr>
          <w:rFonts w:cs="Times New Roman" w:ascii="Times New Roman" w:hAnsi="Times New Roman"/>
          <w:color w:val="FF0000"/>
          <w:sz w:val="22"/>
          <w:szCs w:val="22"/>
        </w:rPr>
        <w:t>##</w:t>
      </w:r>
      <w:r>
        <w:rPr>
          <w:rFonts w:cs="Times New Roman" w:ascii="Times New Roman" w:hAnsi="Times New Roman"/>
          <w:sz w:val="22"/>
          <w:szCs w:val="22"/>
        </w:rPr>
        <w:t>)</w:t>
      </w:r>
    </w:p>
    <w:p>
      <w:pPr>
        <w:pStyle w:val="Normal"/>
        <w:spacing w:lineRule="auto" w:line="360" w:before="0" w:after="0"/>
        <w:ind w:right="-17" w:hanging="0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left="4253" w:right="-15" w:hanging="0"/>
        <w:contextualSpacing/>
        <w:jc w:val="both"/>
        <w:rPr>
          <w:rFonts w:ascii="Times New Roman" w:hAnsi="Times New Roman" w:cs="Times New Roman"/>
          <w:b/>
          <w:b/>
          <w:color w:val="FF0000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CONTRATO Nº ______/20___ QUE ENTRE SI CELEBRAM A EMPRESA BRASILEIRA DE HEMODERIVADOS E BIOTECNOLOGIA – HEMOBRÁS E A </w:t>
      </w:r>
      <w:r>
        <w:rPr>
          <w:rFonts w:cs="Times New Roman" w:ascii="Times New Roman" w:hAnsi="Times New Roman"/>
          <w:b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b/>
          <w:sz w:val="22"/>
          <w:szCs w:val="22"/>
        </w:rPr>
        <w:t>.</w:t>
      </w:r>
    </w:p>
    <w:p>
      <w:pPr>
        <w:pStyle w:val="Normal"/>
        <w:spacing w:lineRule="auto" w:line="360" w:before="0" w:after="0"/>
        <w:ind w:right="-15" w:hanging="0"/>
        <w:contextualSpacing/>
        <w:jc w:val="both"/>
        <w:rPr>
          <w:rFonts w:ascii="Times New Roman" w:hAnsi="Times New Roman" w:cs="Times New Roman"/>
          <w:b/>
          <w:b/>
          <w:color w:val="FF0000"/>
          <w:sz w:val="22"/>
          <w:szCs w:val="22"/>
        </w:rPr>
      </w:pPr>
      <w:r>
        <w:rPr>
          <w:rFonts w:cs="Times New Roman" w:ascii="Times New Roman" w:hAnsi="Times New Roman"/>
          <w:b/>
          <w:color w:val="FF0000"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A </w:t>
      </w:r>
      <w:r>
        <w:rPr>
          <w:rFonts w:cs="Times New Roman" w:ascii="Times New Roman" w:hAnsi="Times New Roman"/>
          <w:b/>
          <w:sz w:val="22"/>
          <w:szCs w:val="22"/>
        </w:rPr>
        <w:t>EMPRESA BRASILEIRA DE HEMODERIVADOS E BIOTECNOLOGIA - HEMOBRÁS</w:t>
      </w:r>
      <w:r>
        <w:rPr>
          <w:rFonts w:cs="Times New Roman" w:ascii="Times New Roman" w:hAnsi="Times New Roman"/>
          <w:sz w:val="22"/>
          <w:szCs w:val="22"/>
        </w:rPr>
        <w:t xml:space="preserve">, entidade pública criada pela União, na forma da Lei n.º 10.972/2004, com Estatuto aprovado na 1º Assembleia Geral Extraordinária realizada em 14 de junho de 2018, integrante da Administração Pública Federal Indireta e vinculada ao Ministério da Saúde, inscrita no CNPJ sob o nº </w:t>
      </w:r>
      <w:r>
        <w:rPr>
          <w:rFonts w:cs="Times New Roman" w:ascii="Times New Roman" w:hAnsi="Times New Roman"/>
          <w:color w:val="FF0000"/>
          <w:sz w:val="22"/>
          <w:szCs w:val="22"/>
        </w:rPr>
        <w:t>##.###.###/####-##</w:t>
      </w:r>
      <w:r>
        <w:rPr>
          <w:rFonts w:cs="Times New Roman" w:ascii="Times New Roman" w:hAnsi="Times New Roman"/>
          <w:sz w:val="22"/>
          <w:szCs w:val="22"/>
        </w:rPr>
        <w:t xml:space="preserve">, localizada na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doravante denominada simplesmente </w:t>
      </w:r>
      <w:r>
        <w:rPr>
          <w:rFonts w:cs="Times New Roman" w:ascii="Times New Roman" w:hAnsi="Times New Roman"/>
          <w:b/>
          <w:sz w:val="22"/>
          <w:szCs w:val="22"/>
        </w:rPr>
        <w:t>HEMOBRÁS</w:t>
      </w:r>
      <w:r>
        <w:rPr>
          <w:rFonts w:cs="Times New Roman" w:ascii="Times New Roman" w:hAnsi="Times New Roman"/>
          <w:sz w:val="22"/>
          <w:szCs w:val="22"/>
        </w:rPr>
        <w:t xml:space="preserve">, neste ato representada por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portador da Cédula de Identidade nº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inscrito no CPF/MF sob o nº </w:t>
      </w:r>
      <w:r>
        <w:rPr>
          <w:rFonts w:cs="Times New Roman" w:ascii="Times New Roman" w:hAnsi="Times New Roman"/>
          <w:color w:val="FF0000"/>
          <w:sz w:val="22"/>
          <w:szCs w:val="22"/>
        </w:rPr>
        <w:t>###.###.###-##</w:t>
      </w:r>
      <w:r>
        <w:rPr>
          <w:rFonts w:cs="Times New Roman" w:ascii="Times New Roman" w:hAnsi="Times New Roman"/>
          <w:sz w:val="22"/>
          <w:szCs w:val="22"/>
        </w:rPr>
        <w:t xml:space="preserve">, no uso da competência atribuída pela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, e a empresa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b/>
          <w:caps/>
          <w:sz w:val="22"/>
          <w:szCs w:val="22"/>
        </w:rPr>
        <w:t xml:space="preserve">, </w:t>
      </w:r>
      <w:r>
        <w:rPr>
          <w:rFonts w:cs="Times New Roman" w:ascii="Times New Roman" w:hAnsi="Times New Roman"/>
          <w:sz w:val="22"/>
          <w:szCs w:val="22"/>
        </w:rPr>
        <w:t xml:space="preserve">inscrita no CNPJ sob o nº </w:t>
      </w:r>
      <w:r>
        <w:rPr>
          <w:rFonts w:cs="Times New Roman" w:ascii="Times New Roman" w:hAnsi="Times New Roman"/>
          <w:color w:val="FF0000"/>
          <w:sz w:val="22"/>
          <w:szCs w:val="22"/>
        </w:rPr>
        <w:t>##.###.###/####-##</w:t>
      </w:r>
      <w:r>
        <w:rPr>
          <w:rFonts w:cs="Times New Roman" w:ascii="Times New Roman" w:hAnsi="Times New Roman"/>
          <w:sz w:val="22"/>
          <w:szCs w:val="22"/>
        </w:rPr>
        <w:t xml:space="preserve">, com sede na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doravante denominada simplesmente </w:t>
      </w:r>
      <w:r>
        <w:rPr>
          <w:rFonts w:cs="Times New Roman" w:ascii="Times New Roman" w:hAnsi="Times New Roman"/>
          <w:b/>
          <w:sz w:val="22"/>
          <w:szCs w:val="22"/>
        </w:rPr>
        <w:t>CONTRATADA</w:t>
      </w:r>
      <w:r>
        <w:rPr>
          <w:rFonts w:cs="Times New Roman" w:ascii="Times New Roman" w:hAnsi="Times New Roman"/>
          <w:sz w:val="22"/>
          <w:szCs w:val="22"/>
        </w:rPr>
        <w:t xml:space="preserve">, neste ato representada pelo seu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portador da Cédula de Identidade de nº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 e inscrito no CPF/MF nº </w:t>
      </w:r>
      <w:r>
        <w:rPr>
          <w:rFonts w:cs="Times New Roman" w:ascii="Times New Roman" w:hAnsi="Times New Roman"/>
          <w:color w:val="FF0000"/>
          <w:sz w:val="22"/>
          <w:szCs w:val="22"/>
        </w:rPr>
        <w:t>###.###.###-##</w:t>
      </w:r>
      <w:r>
        <w:rPr>
          <w:rFonts w:cs="Times New Roman" w:ascii="Times New Roman" w:hAnsi="Times New Roman"/>
          <w:sz w:val="22"/>
          <w:szCs w:val="22"/>
        </w:rPr>
        <w:t xml:space="preserve">, no uso das atribuições que lhe confere a documentação acostada às fls.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DA FUNDAMENTAÇÃO LEGAL</w:t>
      </w:r>
    </w:p>
    <w:p>
      <w:pPr>
        <w:pStyle w:val="Normal"/>
        <w:widowControl w:val="false"/>
        <w:spacing w:lineRule="auto" w:line="360" w:before="0" w:after="0"/>
        <w:contextualSpacing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 xml:space="preserve">A presente contratação foi precedida de licitação, na modalidade pregão, na forma eletrônica nº </w:t>
      </w:r>
      <w:r>
        <w:rPr>
          <w:rFonts w:cs="Times New Roman" w:ascii="Times New Roman" w:hAnsi="Times New Roman"/>
          <w:bCs/>
          <w:color w:val="FF0000"/>
          <w:sz w:val="22"/>
          <w:szCs w:val="22"/>
        </w:rPr>
        <w:t>##/20##</w:t>
      </w:r>
      <w:r>
        <w:rPr>
          <w:rFonts w:cs="Times New Roman" w:ascii="Times New Roman" w:hAnsi="Times New Roman"/>
          <w:bCs/>
          <w:sz w:val="22"/>
          <w:szCs w:val="22"/>
        </w:rPr>
        <w:t xml:space="preserve">, Processo nº </w:t>
      </w:r>
      <w:r>
        <w:rPr>
          <w:rFonts w:cs="Times New Roman" w:ascii="Times New Roman" w:hAnsi="Times New Roman"/>
          <w:sz w:val="22"/>
          <w:szCs w:val="22"/>
        </w:rPr>
        <w:t>25800.</w:t>
      </w:r>
      <w:r>
        <w:rPr>
          <w:rFonts w:cs="Times New Roman" w:ascii="Times New Roman" w:hAnsi="Times New Roman"/>
          <w:color w:val="FF0000"/>
          <w:sz w:val="22"/>
          <w:szCs w:val="22"/>
        </w:rPr>
        <w:t>######/20##</w:t>
      </w:r>
      <w:r>
        <w:rPr>
          <w:rFonts w:cs="Times New Roman" w:ascii="Times New Roman" w:hAnsi="Times New Roman"/>
          <w:bCs/>
          <w:sz w:val="22"/>
          <w:szCs w:val="22"/>
        </w:rPr>
        <w:t xml:space="preserve">, realizado com observância das disposições </w:t>
      </w:r>
      <w:r>
        <w:rPr>
          <w:rFonts w:cs="Times New Roman" w:ascii="Times New Roman" w:hAnsi="Times New Roman"/>
          <w:bCs/>
          <w:color w:val="000000" w:themeColor="text1"/>
          <w:sz w:val="22"/>
          <w:szCs w:val="22"/>
        </w:rPr>
        <w:t xml:space="preserve">do Regulamento de Licitações e Contratações – Hemobrás, aprovado através da Resolução CADM/HEMOBRÁS n. 17, de 28 de Setembro de 2018, publicado do DOU em 09 de Outubro de 2018, Seção 1, p. 74-80, da Lei 13.303, de 30 de Junho de 2016, da </w:t>
      </w:r>
      <w:r>
        <w:rPr>
          <w:rFonts w:cs="Times New Roman" w:ascii="Times New Roman" w:hAnsi="Times New Roman"/>
          <w:bCs/>
          <w:sz w:val="22"/>
          <w:szCs w:val="22"/>
        </w:rPr>
        <w:t>Lei nº 10.520, de 17 de julho de 2002, do Decreto nº 10.024, de 20 de setembro de 2005</w:t>
      </w:r>
      <w:r>
        <w:rPr>
          <w:rFonts w:cs="Times New Roman" w:ascii="Times New Roman" w:hAnsi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>
        <w:rPr>
          <w:rFonts w:cs="Times New Roman" w:ascii="Times New Roman" w:hAnsi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Licitação, e na proposta da CONTRATADA, documentos estes que constituem parte integrante, vinculada e complementar do presente instrumento, dispensadas as suas transcrições.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PRIMEIRA – OBJETO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 objeto do presente instrumento é a contratação de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>, que serão fornecidos nas condições estabelecidas no Termo de Referência, anexo do Edital.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Este Termo de Contrato vincula-se ao Edital do Pregão, identificado no preâmbulo e à proposta vencedora, independentemente de transcrição.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FF0000"/>
          <w:sz w:val="22"/>
          <w:szCs w:val="22"/>
        </w:rPr>
        <w:t>O detalhamento do objeto da contratação está previsto no Anexo I do Termo de Contrato.</w:t>
      </w:r>
    </w:p>
    <w:p>
      <w:pPr>
        <w:pStyle w:val="ListParagraph"/>
        <w:numPr>
          <w:ilvl w:val="0"/>
          <w:numId w:val="0"/>
        </w:numPr>
        <w:spacing w:lineRule="auto" w:line="360"/>
        <w:ind w:left="1080"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SEGUNDA – VIGÊNCIA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prazo de vigência do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 Contrato é de 12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 (doze) meses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, contados </w:t>
      </w:r>
      <w:r>
        <w:rPr>
          <w:rFonts w:cs="Times New Roman" w:ascii="Times New Roman" w:hAnsi="Times New Roman"/>
          <w:sz w:val="22"/>
          <w:szCs w:val="22"/>
        </w:rPr>
        <w:t>da data de assinatura do instrumento, admitindo-se prorrogação para os prazos de início das etapas de execução, de conclusão e de entrega.</w:t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cs="Times New Roman" w:ascii="Times New Roman" w:hAnsi="Times New Roman"/>
          <w:sz w:val="22"/>
          <w:szCs w:val="22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TERCEIRA – PREÇO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 valor total da contratação é de R$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 (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>).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>
      <w:pPr>
        <w:pStyle w:val="ListParagraph"/>
        <w:numPr>
          <w:ilvl w:val="0"/>
          <w:numId w:val="0"/>
        </w:numPr>
        <w:spacing w:lineRule="auto" w:line="360"/>
        <w:ind w:left="78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QUARTA – DOTAÇÃO ORÇAMENTÁRIA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despesas decorrentes desta contratação estão programadas em dotação orçamentária própria, prevista no orçamento da Hemobrás</w:t>
      </w:r>
      <w:r>
        <w:rPr>
          <w:rFonts w:cs="Times New Roman" w:ascii="Times New Roman" w:hAnsi="Times New Roman"/>
          <w:szCs w:val="20"/>
        </w:rPr>
        <w:t xml:space="preserve"> asseguradas no saldo constante na conta orçamentária </w:t>
      </w:r>
      <w:r>
        <w:rPr>
          <w:rFonts w:cs="Times New Roman" w:ascii="Times New Roman" w:hAnsi="Times New Roman"/>
          <w:color w:val="FF0000"/>
          <w:szCs w:val="20"/>
        </w:rPr>
        <w:t>#.###.###.###</w:t>
      </w:r>
      <w:r>
        <w:rPr>
          <w:rFonts w:cs="Times New Roman" w:ascii="Times New Roman" w:hAnsi="Times New Roman"/>
          <w:szCs w:val="20"/>
        </w:rPr>
        <w:t>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QUINTA - DOS CRITÉRIOS DE RECEBIMENTO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360"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SEXTA – PAGAMENTO</w:t>
      </w:r>
    </w:p>
    <w:p>
      <w:pPr>
        <w:pStyle w:val="ListParagraph"/>
        <w:numPr>
          <w:ilvl w:val="1"/>
          <w:numId w:val="1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 prazo para pagamento à CONTRATADA e demais condições a ele referentes encontram-se definidos no Termo de Referência. </w:t>
      </w:r>
    </w:p>
    <w:p>
      <w:pPr>
        <w:pStyle w:val="Normal"/>
        <w:spacing w:lineRule="auto" w:line="360" w:before="0" w:after="0"/>
        <w:ind w:left="425" w:hanging="0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>
        <w:rPr>
          <w:rFonts w:cs="Times New Roman" w:ascii="Times New Roman" w:hAnsi="Times New Roman"/>
          <w:sz w:val="22"/>
          <w:szCs w:val="22"/>
          <w:highlight w:val="yellow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SÉTIMA – REAJUSTE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</w:t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OITAVA – CONTROLE E FISCALIZAÇÃO DA EXECUÇÃO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NONA – OBRIGAÇÕES DA CONTRATANTE E DA CONTRATADA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ivel1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CLÁUSULA DÉCIMA</w:t>
      </w:r>
      <w:r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Não será admitida a subcontratação do objeto licitatório.</w:t>
      </w:r>
    </w:p>
    <w:p>
      <w:pPr>
        <w:pStyle w:val="Normal"/>
        <w:spacing w:lineRule="auto" w:line="360" w:before="0" w:after="0"/>
        <w:ind w:left="792" w:hanging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ivel1"/>
        <w:numPr>
          <w:ilvl w:val="0"/>
          <w:numId w:val="1"/>
        </w:numPr>
        <w:spacing w:lineRule="auto" w:line="360" w:before="0" w:after="0"/>
        <w:contextualSpacing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CLÁUSULA DÉCIMA PRIMEIRA - </w:t>
      </w:r>
      <w:r>
        <w:rPr>
          <w:rFonts w:ascii="Times New Roman" w:hAnsi="Times New Roman"/>
          <w:color w:val="auto"/>
          <w:sz w:val="22"/>
          <w:szCs w:val="22"/>
        </w:rPr>
        <w:t>ALTERAÇÃO SUBJETIVA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>
      <w:pPr>
        <w:pStyle w:val="ListParagraph"/>
        <w:spacing w:lineRule="auto" w:line="360"/>
        <w:ind w:left="360"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ivel1"/>
        <w:numPr>
          <w:ilvl w:val="0"/>
          <w:numId w:val="1"/>
        </w:numPr>
        <w:spacing w:lineRule="auto" w:line="360" w:before="0" w:after="0"/>
        <w:contextualSpacing/>
        <w:rPr/>
      </w:pPr>
      <w:r>
        <w:rPr>
          <w:rFonts w:ascii="Times New Roman" w:hAnsi="Times New Roman"/>
          <w:sz w:val="22"/>
          <w:szCs w:val="22"/>
        </w:rPr>
        <w:t xml:space="preserve">CLÁUSULA DÉCIMA </w:t>
      </w:r>
      <w:r>
        <w:rPr>
          <w:rFonts w:eastAsia="ＭＳ ゴシック" w:cs="Times New Roman" w:ascii="Times New Roman" w:hAnsi="Times New Roman"/>
          <w:b/>
          <w:bCs w:val="false"/>
          <w:color w:val="000000"/>
          <w:sz w:val="22"/>
          <w:szCs w:val="22"/>
        </w:rPr>
        <w:t>SEGUNDA</w:t>
      </w:r>
      <w:r>
        <w:rPr>
          <w:rFonts w:ascii="Times New Roman" w:hAnsi="Times New Roman"/>
          <w:sz w:val="22"/>
          <w:szCs w:val="22"/>
        </w:rPr>
        <w:t>– SANÇÕES ADMINISTRATIVAS.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/>
      </w:pPr>
      <w:r>
        <w:rPr>
          <w:rFonts w:cs="Times New Roman" w:ascii="Times New Roman" w:hAnsi="Times New Roman"/>
          <w:b/>
          <w:sz w:val="22"/>
          <w:szCs w:val="22"/>
        </w:rPr>
        <w:t>CLÁUSULA DÉCIMA TERCEIRA – RESCISÃO</w:t>
      </w:r>
      <w:bookmarkStart w:id="0" w:name="_GoBack"/>
      <w:bookmarkEnd w:id="0"/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 presente Termo de Contrato poderá ser rescindido nas hipóteses previstas no art. 82 da Lei nº 13.303, de 2016, Art. 106 do Regulamento de Licitações e Contratações da Hemobrás, sem prejuízo da aplicação das sanções previstas na </w:t>
      </w:r>
      <w:r>
        <w:rPr>
          <w:rFonts w:cs="Times New Roman" w:ascii="Times New Roman" w:hAnsi="Times New Roman"/>
          <w:color w:val="FF0000"/>
          <w:sz w:val="22"/>
          <w:szCs w:val="22"/>
        </w:rPr>
        <w:t>Cláusula Décima Segunda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Os casos de rescisão contratual serão formalmente motivados, assegurando-se à CONTRATADA o direito à prévia e ampla defesa.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 CONTRATADA reconhece os direitos da CONTRATANTE em caso de rescisão administrativa prevista neste instrumento de contrato, e as previstas na lei e no Regulamento de Licitações e Contratos da Hemobrás.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termo de rescisão, sempre que possível, será precedido: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Balanço dos eventos contratuais já cumpridos ou parcialmente cumpridos;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Relação dos pagamentos já efetuados e ainda devidos;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Indenizações e multas.</w:t>
      </w:r>
    </w:p>
    <w:p>
      <w:pPr>
        <w:pStyle w:val="ListParagraph"/>
        <w:numPr>
          <w:ilvl w:val="1"/>
          <w:numId w:val="1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 rescisão do contrato se dá: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De forma unilateral, assegurada a prévia defesa; 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Por determinação judicial.</w:t>
      </w:r>
    </w:p>
    <w:p>
      <w:pPr>
        <w:pStyle w:val="ListParagraph"/>
        <w:numPr>
          <w:ilvl w:val="0"/>
          <w:numId w:val="0"/>
        </w:numPr>
        <w:spacing w:lineRule="auto" w:line="360"/>
        <w:ind w:left="786" w:hanging="0"/>
        <w:jc w:val="both"/>
        <w:rPr>
          <w:rFonts w:ascii="Times New Roman" w:hAnsi="Times New Roman" w:cs="Times New Roman"/>
          <w:color w:val="0033CC"/>
          <w:sz w:val="22"/>
          <w:szCs w:val="22"/>
        </w:rPr>
      </w:pPr>
      <w:r>
        <w:rPr>
          <w:rFonts w:cs="Times New Roman" w:ascii="Times New Roman" w:hAnsi="Times New Roman"/>
          <w:color w:val="0033CC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QUARTA – VEDAÇÕES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É vedado à CONTRATADA: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caucionar ou utilizar este Termo de Contrato para qualquer operação financeira;</w:t>
      </w:r>
    </w:p>
    <w:p>
      <w:pPr>
        <w:pStyle w:val="ListParagraph"/>
        <w:numPr>
          <w:ilvl w:val="2"/>
          <w:numId w:val="1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interromper a execução dos serviços sob alegação de inadimplemento por parte da Hemobrás, salvo nos casos previstos em lei.</w:t>
      </w:r>
    </w:p>
    <w:p>
      <w:pPr>
        <w:pStyle w:val="ListParagraph"/>
        <w:spacing w:lineRule="auto" w:line="360"/>
        <w:ind w:left="851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QUINTA - MATRIZ DE RISCOS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trike w:val="false"/>
          <w:dstrike w:val="false"/>
          <w:sz w:val="22"/>
          <w:szCs w:val="22"/>
        </w:rPr>
      </w:pPr>
      <w:r>
        <w:rPr>
          <w:rFonts w:cs="Times New Roman" w:ascii="Times New Roman" w:hAnsi="Times New Roman"/>
          <w:strike w:val="false"/>
          <w:dstrike w:val="false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numPr>
          <w:ilvl w:val="0"/>
          <w:numId w:val="0"/>
        </w:numPr>
        <w:spacing w:lineRule="auto" w:line="360"/>
        <w:ind w:left="78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SEXTA – ALTERAÇÕES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Eventuais alterações contratuais reger-se-ão pela disciplina dos arts. 97 - 102 do Regulamento de Licitações e Contratações – Hemobrás e, subsidiariamente, no art. 81, da Lei 13.303, de 2016.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 CONTRATADA poderá aceitar, nas mesmas condições contratuais, os acréscimos ou supressões que se fizerem necessários, até o limite de 25% (vinte e cinco por cento) do valor inicial atualizado do contrato.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supressões resultantes de acordo celebrado entre as partes contratantes poderão exceder o limite de 25% (vinte e cinco por cento) do valor inicial atualizado do contrato.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SÉTIMA – DOS CASOS OMISSOS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Os casos omissos serão decididos pela Hemobrás, segundo as disposições contidas no Regulamento de Licitações e Contratações – Hemobrás, na Lei nº 13.303, de 2016, na Lei nº 10.520, de 2002 e demais normas federais aplicáveis e, subsidiariamente, nas normas e princípios gerais dos contratos.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OITAVA – PUBLICAÇÃO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Incumbirá à CONTRATANTE providenciar a publicação deste instrumento, por extrato, no Diário Oficial da União.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NONA – FORO</w:t>
      </w:r>
    </w:p>
    <w:p>
      <w:pPr>
        <w:pStyle w:val="ListParagraph"/>
        <w:numPr>
          <w:ilvl w:val="1"/>
          <w:numId w:val="1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>
      <w:pPr>
        <w:pStyle w:val="Normal"/>
        <w:spacing w:lineRule="auto" w:line="360" w:before="0" w:after="0"/>
        <w:ind w:left="425" w:hanging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Recife-PE, ____  de ________________  de  20</w:t>
      </w:r>
      <w:r>
        <w:rPr>
          <w:rFonts w:cs="Times New Roman" w:ascii="Times New Roman" w:hAnsi="Times New Roman"/>
          <w:color w:val="000000" w:themeColor="text1"/>
          <w:sz w:val="22"/>
          <w:szCs w:val="22"/>
        </w:rPr>
        <w:t>___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0" w:after="120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</w:r>
    </w:p>
    <w:tbl>
      <w:tblPr>
        <w:tblW w:w="817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8"/>
        <w:gridCol w:w="235"/>
        <w:gridCol w:w="3971"/>
      </w:tblGrid>
      <w:tr>
        <w:trPr/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>
        <w:trPr/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FF0000"/>
                <w:sz w:val="22"/>
                <w:szCs w:val="22"/>
              </w:rPr>
              <w:t xml:space="preserve">Fornecedor </w:t>
            </w:r>
          </w:p>
        </w:tc>
      </w:tr>
    </w:tbl>
    <w:p>
      <w:pPr>
        <w:pStyle w:val="Normal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tbl>
      <w:tblPr>
        <w:tblW w:w="817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8"/>
        <w:gridCol w:w="235"/>
        <w:gridCol w:w="3971"/>
      </w:tblGrid>
      <w:tr>
        <w:trPr/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>
        <w:trPr/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>
        <w:trPr/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22"/>
          <w:szCs w:val="22"/>
          <w:lang w:val="x-none"/>
        </w:rPr>
      </w:pPr>
      <w:r>
        <w:rPr>
          <w:rFonts w:cs="Times New Roman" w:ascii="Times New Roman" w:hAnsi="Times New Roman"/>
          <w:sz w:val="22"/>
          <w:szCs w:val="22"/>
          <w:lang w:val="x-none"/>
        </w:rPr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2"/>
          <w:szCs w:val="22"/>
          <w:u w:val="single"/>
        </w:rPr>
      </w:pPr>
      <w:r>
        <w:rPr>
          <w:rFonts w:cs="Times New Roman" w:ascii="Times New Roman" w:hAnsi="Times New Roman"/>
          <w:b/>
          <w:bCs/>
          <w:color w:val="FF0000"/>
          <w:sz w:val="22"/>
          <w:szCs w:val="22"/>
          <w:u w:val="single"/>
        </w:rPr>
      </w:r>
      <w:r>
        <w:br w:type="page"/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>
        <w:rPr>
          <w:rFonts w:cs="Times New Roman" w:ascii="Times New Roman" w:hAnsi="Times New Roman"/>
          <w:bCs/>
          <w:color w:val="000000" w:themeColor="text1"/>
          <w:sz w:val="22"/>
          <w:szCs w:val="22"/>
          <w:u w:val="single"/>
        </w:rPr>
        <w:t>ANEXO I DO TERMO DE CONTRATO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>
        <w:rPr>
          <w:rFonts w:cs="Times New Roman" w:ascii="Times New Roman" w:hAnsi="Times New Roman"/>
          <w:bCs/>
          <w:color w:val="000000" w:themeColor="text1"/>
          <w:sz w:val="22"/>
          <w:szCs w:val="22"/>
          <w:u w:val="single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z w:val="22"/>
          <w:szCs w:val="22"/>
          <w:u w:val="single"/>
        </w:rPr>
      </w:pPr>
      <w:r>
        <w:rPr>
          <w:rFonts w:cs="Times New Roman" w:ascii="Times New Roman" w:hAnsi="Times New Roman"/>
          <w:b/>
          <w:bCs/>
          <w:color w:val="000000" w:themeColor="text1"/>
          <w:sz w:val="22"/>
          <w:szCs w:val="22"/>
          <w:u w:val="single"/>
        </w:rPr>
        <w:t>DETALHAMENTO DO OBJETO</w:t>
      </w:r>
    </w:p>
    <w:p>
      <w:pPr>
        <w:pStyle w:val="Corpodetexto21"/>
        <w:spacing w:lineRule="auto" w:line="360" w:before="0" w:after="0"/>
        <w:ind w:firstLine="1418"/>
        <w:contextualSpacing/>
        <w:rPr>
          <w:rFonts w:ascii="Times New Roman" w:hAnsi="Times New Roman" w:eastAsia="Arial"/>
          <w:sz w:val="22"/>
          <w:szCs w:val="22"/>
        </w:rPr>
      </w:pPr>
      <w:r>
        <w:rPr>
          <w:rFonts w:eastAsia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22"/>
          <w:szCs w:val="22"/>
        </w:rPr>
      </w:pPr>
      <w:r>
        <w:rPr/>
      </w:r>
    </w:p>
    <w:tbl>
      <w:tblPr>
        <w:tblW w:w="11327" w:type="dxa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09"/>
        <w:gridCol w:w="708"/>
        <w:gridCol w:w="2079"/>
        <w:gridCol w:w="3120"/>
        <w:gridCol w:w="1434"/>
        <w:gridCol w:w="845"/>
        <w:gridCol w:w="845"/>
        <w:gridCol w:w="844"/>
        <w:gridCol w:w="843"/>
      </w:tblGrid>
      <w:tr>
        <w:trPr>
          <w:trHeight w:val="427" w:hRule="atLeast"/>
        </w:trPr>
        <w:tc>
          <w:tcPr>
            <w:tcW w:w="60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000000" w:fill="EBF1DE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Calibri" w:hAnsi="Calibri"/>
                <w:b/>
                <w:bCs/>
                <w:sz w:val="18"/>
                <w:szCs w:val="18"/>
              </w:rPr>
              <w:t>Grupo</w:t>
            </w:r>
          </w:p>
        </w:tc>
        <w:tc>
          <w:tcPr>
            <w:tcW w:w="70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000000" w:fill="EBF1DE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Calibri" w:hAnsi="Calibr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07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000000" w:fill="EBF1DE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Calibri" w:hAnsi="Calibri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312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000000" w:fill="EBF1DE" w:val="clear"/>
            <w:vAlign w:val="center"/>
          </w:tcPr>
          <w:p>
            <w:pPr>
              <w:pStyle w:val="Normal"/>
              <w:spacing w:before="40" w:after="40"/>
              <w:jc w:val="center"/>
              <w:rPr>
                <w:rFonts w:ascii="Calibri" w:hAnsi="Calibri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Calibri" w:hAnsi="Calibri"/>
                <w:b/>
                <w:bCs/>
                <w:sz w:val="18"/>
                <w:szCs w:val="18"/>
              </w:rPr>
              <w:t>Especificação</w:t>
            </w:r>
          </w:p>
        </w:tc>
        <w:tc>
          <w:tcPr>
            <w:tcW w:w="14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000000" w:fill="EBF1DE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Calibri" w:hAnsi="Calibri"/>
                <w:b/>
                <w:bCs/>
                <w:sz w:val="18"/>
                <w:szCs w:val="18"/>
              </w:rPr>
              <w:t>CA Referência</w:t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000000" w:fill="EBF1DE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Calibri" w:hAnsi="Calibri"/>
                <w:b/>
                <w:bCs/>
                <w:sz w:val="18"/>
                <w:szCs w:val="18"/>
              </w:rPr>
              <w:t>Medida</w:t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000000" w:fill="EBF1DE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Calibri" w:hAnsi="Calibri"/>
                <w:b/>
                <w:bCs/>
                <w:sz w:val="18"/>
                <w:szCs w:val="18"/>
              </w:rPr>
              <w:t>Qtde.</w:t>
            </w:r>
          </w:p>
        </w:tc>
        <w:tc>
          <w:tcPr>
            <w:tcW w:w="84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000000" w:fill="EBF1DE" w:val="clea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Calibri" w:hAnsi="Calibri"/>
                <w:b/>
                <w:bCs/>
                <w:sz w:val="18"/>
                <w:szCs w:val="18"/>
              </w:rPr>
              <w:t>Valor Unitário (R$)</w:t>
            </w:r>
          </w:p>
        </w:tc>
        <w:tc>
          <w:tcPr>
            <w:tcW w:w="843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000000" w:fill="EBF1DE" w:val="clea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Calibri" w:hAnsi="Calibri"/>
                <w:b/>
                <w:bCs/>
                <w:sz w:val="18"/>
                <w:szCs w:val="18"/>
              </w:rPr>
              <w:t>Valor Total (R$)</w:t>
            </w:r>
          </w:p>
        </w:tc>
      </w:tr>
      <w:tr>
        <w:trPr>
          <w:trHeight w:val="501" w:hRule="atLeast"/>
        </w:trPr>
        <w:tc>
          <w:tcPr>
            <w:tcW w:w="609" w:type="dxa"/>
            <w:vMerge w:val="restar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24"/>
              </w:rPr>
            </w:pPr>
            <w:r>
              <w:rPr/>
            </w:r>
          </w:p>
        </w:tc>
        <w:tc>
          <w:tcPr>
            <w:tcW w:w="70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207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312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40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14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843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53" w:hRule="atLeast"/>
        </w:trPr>
        <w:tc>
          <w:tcPr>
            <w:tcW w:w="609" w:type="dxa"/>
            <w:vMerge w:val="continue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b/>
                <w:color w:val="000000"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207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312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40"/>
              <w:jc w:val="both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14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843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617" w:hRule="atLeast"/>
        </w:trPr>
        <w:tc>
          <w:tcPr>
            <w:tcW w:w="609" w:type="dxa"/>
            <w:vMerge w:val="continue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b/>
                <w:color w:val="000000"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207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312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40"/>
              <w:jc w:val="both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14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843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555" w:hRule="atLeast"/>
        </w:trPr>
        <w:tc>
          <w:tcPr>
            <w:tcW w:w="609" w:type="dxa"/>
            <w:vMerge w:val="continue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b/>
                <w:color w:val="000000"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207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312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40"/>
              <w:jc w:val="both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14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843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556" w:hRule="atLeast"/>
        </w:trPr>
        <w:tc>
          <w:tcPr>
            <w:tcW w:w="609" w:type="dxa"/>
            <w:vMerge w:val="continue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b/>
                <w:color w:val="000000"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207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312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40"/>
              <w:jc w:val="both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14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843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720" w:hRule="atLeast"/>
        </w:trPr>
        <w:tc>
          <w:tcPr>
            <w:tcW w:w="609" w:type="dxa"/>
            <w:vMerge w:val="continue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b/>
                <w:color w:val="000000"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207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312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40"/>
              <w:jc w:val="both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14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843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538" w:hRule="atLeast"/>
        </w:trPr>
        <w:tc>
          <w:tcPr>
            <w:tcW w:w="609" w:type="dxa"/>
            <w:vMerge w:val="continue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b/>
                <w:color w:val="000000"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207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312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40"/>
              <w:jc w:val="both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14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843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702" w:hRule="atLeast"/>
        </w:trPr>
        <w:tc>
          <w:tcPr>
            <w:tcW w:w="609" w:type="dxa"/>
            <w:vMerge w:val="continue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b/>
                <w:color w:val="000000"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207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312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40"/>
              <w:jc w:val="both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14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843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760" w:hRule="atLeast"/>
        </w:trPr>
        <w:tc>
          <w:tcPr>
            <w:tcW w:w="609" w:type="dxa"/>
            <w:vMerge w:val="continue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b/>
                <w:color w:val="000000"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207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312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40"/>
              <w:jc w:val="both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14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843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</w:tr>
      <w:tr>
        <w:trPr>
          <w:trHeight w:val="153" w:hRule="atLeast"/>
        </w:trPr>
        <w:tc>
          <w:tcPr>
            <w:tcW w:w="609" w:type="dxa"/>
            <w:vMerge w:val="continue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b/>
                <w:color w:val="000000"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b/>
                <w:b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207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312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spacing w:before="40" w:after="40"/>
              <w:jc w:val="both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14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Calibri" w:hAnsi="Calibri"/>
                <w:color w:val="000000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  <w:tc>
          <w:tcPr>
            <w:tcW w:w="843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en-U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701" w:right="1134" w:header="708" w:top="1418" w:footer="0" w:bottom="1418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1482090" cy="1031240"/>
          <wp:effectExtent l="0" t="0" r="0" b="0"/>
          <wp:docPr id="1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82090" cy="1031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FFFFFF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mirrorMargins/>
  <w:defaultTabStop w:val="57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e87608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auto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 w:val="true"/>
      <w:keepLines/>
      <w:spacing w:before="48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57"/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>
    <w:name w:val="Link da Internet"/>
    <w:rsid w:val="00bf1a7f"/>
    <w:rPr>
      <w:color w:val="000080"/>
      <w:u w:val="single"/>
    </w:rPr>
  </w:style>
  <w:style w:type="character" w:styleId="GradeColoridanfase1Char" w:customStyle="1">
    <w:name w:val="Grade Colorida - Ênfase 1 Char"/>
    <w:link w:val="GradeColorida-nfase11"/>
    <w:uiPriority w:val="29"/>
    <w:qFormat/>
    <w:rsid w:val="00c322f1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 w:customStyle="1">
    <w:name w:val="citação 2 Char"/>
    <w:basedOn w:val="GradeColoridanfase1Char"/>
    <w:link w:val="citao2"/>
    <w:qFormat/>
    <w:rsid w:val="000a23da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Annotationreference">
    <w:name w:val="annotation reference"/>
    <w:basedOn w:val="DefaultParagraphFont"/>
    <w:semiHidden/>
    <w:unhideWhenUsed/>
    <w:qFormat/>
    <w:rsid w:val="00274947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semiHidden/>
    <w:qFormat/>
    <w:rsid w:val="00274947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sid w:val="00274947"/>
    <w:rPr>
      <w:rFonts w:ascii="Ecofont_Spranq_eco_Sans" w:hAnsi="Ecofont_Spranq_eco_Sans" w:cs="Tahoma"/>
      <w:b/>
      <w:bCs/>
    </w:rPr>
  </w:style>
  <w:style w:type="character" w:styleId="CabealhoChar" w:customStyle="1">
    <w:name w:val="Cabeçalho Char"/>
    <w:basedOn w:val="DefaultParagraphFont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basedOn w:val="DefaultParagraphFont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character" w:styleId="Ttulo1Char" w:customStyle="1">
    <w:name w:val="Título 1 Char"/>
    <w:basedOn w:val="DefaultParagraphFont"/>
    <w:link w:val="Ttulo1"/>
    <w:qFormat/>
    <w:rsid w:val="00e164f6"/>
    <w:rPr>
      <w:rFonts w:ascii="Cambria" w:hAnsi="Cambria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ivel01TituloChar" w:customStyle="1">
    <w:name w:val="Nivel_01_Titulo Char"/>
    <w:basedOn w:val="Ttulo1Char"/>
    <w:link w:val="Nivel01Titulo"/>
    <w:qFormat/>
    <w:rsid w:val="00e87608"/>
    <w:rPr>
      <w:rFonts w:ascii="Arial" w:hAnsi="Arial" w:eastAsia="ＭＳ ゴシック" w:cs="" w:cstheme="majorBidi" w:eastAsiaTheme="majorEastAsia"/>
      <w:b/>
      <w:bCs/>
      <w:color w:val="365F91" w:themeColor="accent1" w:themeShade="bf"/>
      <w:sz w:val="28"/>
      <w:szCs w:val="28"/>
    </w:rPr>
  </w:style>
  <w:style w:type="character" w:styleId="PargrafodaListaChar" w:customStyle="1">
    <w:name w:val="Parágrafo da Lista Char"/>
    <w:basedOn w:val="DefaultParagraphFont"/>
    <w:link w:val="PargrafodaLista"/>
    <w:uiPriority w:val="34"/>
    <w:qFormat/>
    <w:rsid w:val="00ef4d43"/>
    <w:rPr>
      <w:rFonts w:ascii="Arial" w:hAnsi="Arial" w:cs="Tahoma"/>
      <w:szCs w:val="24"/>
    </w:rPr>
  </w:style>
  <w:style w:type="character" w:styleId="Nivel1Char" w:customStyle="1">
    <w:name w:val="Nivel1 Char"/>
    <w:basedOn w:val="Ttulo1Char"/>
    <w:link w:val="Nivel1"/>
    <w:qFormat/>
    <w:rsid w:val="00224134"/>
    <w:rPr>
      <w:rFonts w:ascii="Arial" w:hAnsi="Arial" w:eastAsia="ＭＳ ゴシック" w:cs="" w:cstheme="majorBidi" w:eastAsiaTheme="majorEastAsia"/>
      <w:b/>
      <w:bCs w:val="false"/>
      <w:color w:val="000000"/>
      <w:sz w:val="28"/>
      <w:szCs w:val="28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aColoridanfase11" w:customStyle="1">
    <w:name w:val="Lista Colorida - Ênfase 11"/>
    <w:basedOn w:val="Normal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 w:cs="Times New Roman"/>
      <w:sz w:val="16"/>
      <w:szCs w:val="16"/>
      <w:lang w:val="x-none" w:eastAsia="x-none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GradeColoridanfase11" w:customStyle="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ListBullet5">
    <w:name w:val="List Bullet 5"/>
    <w:basedOn w:val="Normal"/>
    <w:qFormat/>
    <w:rsid w:val="001a3a05"/>
    <w:pPr>
      <w:spacing w:before="0" w:after="0"/>
      <w:contextualSpacing/>
    </w:pPr>
    <w:rPr/>
  </w:style>
  <w:style w:type="paragraph" w:styleId="Citao2" w:customStyle="1">
    <w:name w:val="citação 2"/>
    <w:basedOn w:val="GradeColoridanfase11"/>
    <w:link w:val="citao2Char"/>
    <w:qFormat/>
    <w:rsid w:val="000a23da"/>
    <w:pPr>
      <w:shd w:val="clear" w:fill="FFFFCC"/>
    </w:pPr>
    <w:rPr>
      <w:szCs w:val="20"/>
    </w:rPr>
  </w:style>
  <w:style w:type="paragraph" w:styleId="Ad" w:customStyle="1">
    <w:name w:val="ad"/>
    <w:basedOn w:val="Normal"/>
    <w:qFormat/>
    <w:rsid w:val="0040055d"/>
    <w:pPr>
      <w:spacing w:lineRule="auto" w:line="360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styleId="TtulodaTabela" w:customStyle="1">
    <w:name w:val="Título da Tabela"/>
    <w:basedOn w:val="Normal"/>
    <w:qFormat/>
    <w:rsid w:val="000575ae"/>
    <w:pPr>
      <w:widowControl w:val="false"/>
      <w:suppressLineNumbers/>
      <w:suppressAutoHyphens w:val="true"/>
      <w:spacing w:before="0"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paragraph" w:styleId="Annotationtext">
    <w:name w:val="annotation text"/>
    <w:basedOn w:val="Normal"/>
    <w:link w:val="TextodecomentrioChar"/>
    <w:semiHidden/>
    <w:unhideWhenUsed/>
    <w:qFormat/>
    <w:rsid w:val="00274947"/>
    <w:pPr/>
    <w:rPr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semiHidden/>
    <w:unhideWhenUsed/>
    <w:qFormat/>
    <w:rsid w:val="00274947"/>
    <w:pPr/>
    <w:rPr>
      <w:b/>
      <w:bCs/>
    </w:rPr>
  </w:style>
  <w:style w:type="paragraph" w:styleId="Corpodetexto21" w:customStyle="1">
    <w:name w:val="Corpo de texto 21"/>
    <w:basedOn w:val="Normal"/>
    <w:qFormat/>
    <w:rsid w:val="0087083b"/>
    <w:pPr>
      <w:suppressAutoHyphens w:val="true"/>
      <w:ind w:firstLine="2835"/>
      <w:jc w:val="both"/>
    </w:pPr>
    <w:rPr>
      <w:rFonts w:cs="Times New Roman"/>
      <w:szCs w:val="20"/>
      <w:lang w:eastAsia="ar-SA"/>
    </w:rPr>
  </w:style>
  <w:style w:type="paragraph" w:styleId="ListParagraph">
    <w:name w:val="List Paragraph"/>
    <w:basedOn w:val="Normal"/>
    <w:link w:val="PargrafodaListaChar"/>
    <w:uiPriority w:val="34"/>
    <w:qFormat/>
    <w:rsid w:val="0087083b"/>
    <w:pPr>
      <w:spacing w:before="0" w:after="0"/>
      <w:ind w:left="720" w:hanging="0"/>
      <w:contextualSpacing/>
    </w:pPr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9b0d00"/>
    <w:pPr>
      <w:tabs>
        <w:tab w:val="clear" w:pos="57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lear" w:pos="57"/>
        <w:tab w:val="center" w:pos="4252" w:leader="none"/>
        <w:tab w:val="right" w:pos="8504" w:leader="none"/>
      </w:tabs>
    </w:pPr>
    <w:rPr/>
  </w:style>
  <w:style w:type="paragraph" w:styleId="Nivel01Titulo" w:customStyle="1">
    <w:name w:val="Nivel_01_Titulo"/>
    <w:basedOn w:val="Ttulo1"/>
    <w:next w:val="Normal"/>
    <w:link w:val="Nivel01TituloChar"/>
    <w:qFormat/>
    <w:rsid w:val="00e87608"/>
    <w:pPr>
      <w:tabs>
        <w:tab w:val="clear" w:pos="57"/>
        <w:tab w:val="left" w:pos="567" w:leader="none"/>
      </w:tabs>
      <w:spacing w:before="240" w:after="0"/>
      <w:jc w:val="both"/>
    </w:pPr>
    <w:rPr>
      <w:rFonts w:ascii="Arial" w:hAnsi="Arial" w:cs="Times New Roman"/>
      <w:color w:val="auto"/>
      <w:sz w:val="20"/>
      <w:szCs w:val="20"/>
    </w:rPr>
  </w:style>
  <w:style w:type="paragraph" w:styleId="Nivel1" w:customStyle="1">
    <w:name w:val="Nivel1"/>
    <w:basedOn w:val="Ttulo1"/>
    <w:link w:val="Nivel1Char"/>
    <w:qFormat/>
    <w:rsid w:val="005e62ad"/>
    <w:pPr>
      <w:spacing w:lineRule="auto" w:line="276"/>
      <w:ind w:left="357" w:hanging="357"/>
      <w:jc w:val="both"/>
    </w:pPr>
    <w:rPr>
      <w:rFonts w:ascii="Arial" w:hAnsi="Arial" w:cs="Times New Roman"/>
      <w:bCs w:val="false"/>
      <w:color w:val="000000"/>
      <w:sz w:val="20"/>
      <w:szCs w:val="20"/>
    </w:rPr>
  </w:style>
  <w:style w:type="paragraph" w:styleId="Default" w:customStyle="1">
    <w:name w:val="Default"/>
    <w:qFormat/>
    <w:rsid w:val="00960f3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384</TotalTime>
  <Application>LibreOffice/6.4.7.2$Windows_X86_64 LibreOffice_project/639b8ac485750d5696d7590a72ef1b496725cfb5</Application>
  <Pages>6</Pages>
  <Words>1329</Words>
  <Characters>7505</Characters>
  <CharactersWithSpaces>8722</CharactersWithSpaces>
  <Paragraphs>86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2018-10-18T12:34:00Z</dcterms:created>
  <dc:creator>Adriano</dc:creator>
  <dc:description/>
  <dc:language>pt-BR</dc:language>
  <cp:lastModifiedBy/>
  <cp:lastPrinted>2017-09-20T20:17:00Z</cp:lastPrinted>
  <dcterms:modified xsi:type="dcterms:W3CDTF">2021-02-04T14:34:58Z</dcterms:modified>
  <cp:revision>12</cp:revision>
  <dc:subject/>
  <dc:title>NOTAS EXPLICATIVAS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EDUARDO DOTTI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