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03" w:line="259" w:lineRule="auto"/>
        <w:ind w:left="10" w:right="1" w:firstLine="1.0000000000000009"/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Anexo II do Edital</w:t>
      </w:r>
    </w:p>
    <w:p w:rsidR="00000000" w:rsidDel="00000000" w:rsidP="00000000" w:rsidRDefault="00000000" w:rsidRPr="00000000" w14:paraId="00000002">
      <w:pPr>
        <w:spacing w:after="103" w:line="259" w:lineRule="auto"/>
        <w:ind w:left="10" w:right="1" w:firstLine="1.0000000000000009"/>
        <w:jc w:val="center"/>
        <w:rPr/>
      </w:pPr>
      <w:r w:rsidDel="00000000" w:rsidR="00000000" w:rsidRPr="00000000">
        <w:rPr>
          <w:b w:val="1"/>
          <w:rtl w:val="0"/>
        </w:rPr>
        <w:t xml:space="preserve">MINUTA DE CONTRATO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03" w:line="259" w:lineRule="auto"/>
        <w:jc w:val="center"/>
        <w:rPr/>
      </w:pPr>
      <w:r w:rsidDel="00000000" w:rsidR="00000000" w:rsidRPr="00000000">
        <w:rPr>
          <w:rtl w:val="0"/>
        </w:rPr>
        <w:t xml:space="preserve">(Processo Administrativo n. 25800.000212/2024-88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4">
      <w:pPr>
        <w:spacing w:after="103" w:line="259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10" w:lineRule="auto"/>
        <w:ind w:left="5387" w:right="0" w:firstLine="0"/>
        <w:rPr/>
      </w:pPr>
      <w:r w:rsidDel="00000000" w:rsidR="00000000" w:rsidRPr="00000000">
        <w:rPr>
          <w:rtl w:val="0"/>
        </w:rPr>
        <w:t xml:space="preserve">CONTRATO Nº ______/20___ QUE ENTRE SI CELEBRAM A EMPRESA BRASILEIRA DE HEMODERIVADOS E BIOTECNOLOGIA – HEMOBRÁS E A </w:t>
      </w:r>
      <w:r w:rsidDel="00000000" w:rsidR="00000000" w:rsidRPr="00000000">
        <w:rPr>
          <w:color w:val="ff0000"/>
          <w:rtl w:val="0"/>
        </w:rPr>
        <w:t xml:space="preserve">######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6">
      <w:pPr>
        <w:spacing w:after="104" w:line="259" w:lineRule="auto"/>
        <w:ind w:lef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04" w:line="259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b w:val="1"/>
          <w:rtl w:val="0"/>
        </w:rPr>
        <w:t xml:space="preserve">EMPRESA BRASILEIRA DE HEMODERIVADOS E BIOTECNOLOGIA - HEMOBRÁS</w:t>
      </w:r>
      <w:r w:rsidDel="00000000" w:rsidR="00000000" w:rsidRPr="00000000">
        <w:rPr>
          <w:rtl w:val="0"/>
        </w:rPr>
        <w:t xml:space="preserve">, entidade pública criada pela União, na forma da Lei n.º 10.972/2004, com Estatuto aprovado na 1º Assembleia Geral Extraordinária realizada em 14 de junho de 2018, alterado na 3ª Assembleia Geral Extraordinária de 6 de dezembro de 2024, integrante da Administração Pública Federal Indireta e vinculada ao Ministério da Saúde, inscrita no CNPJ sob o nº </w:t>
      </w:r>
      <w:r w:rsidDel="00000000" w:rsidR="00000000" w:rsidRPr="00000000">
        <w:rPr>
          <w:color w:val="ff0000"/>
          <w:rtl w:val="0"/>
        </w:rPr>
        <w:t xml:space="preserve">##.###.###/####-##</w:t>
      </w:r>
      <w:r w:rsidDel="00000000" w:rsidR="00000000" w:rsidRPr="00000000">
        <w:rPr>
          <w:rtl w:val="0"/>
        </w:rPr>
        <w:t xml:space="preserve">, localizada na </w:t>
      </w:r>
      <w:r w:rsidDel="00000000" w:rsidR="00000000" w:rsidRPr="00000000">
        <w:rPr>
          <w:color w:val="ff0000"/>
          <w:rtl w:val="0"/>
        </w:rPr>
        <w:t xml:space="preserve">######</w:t>
      </w:r>
      <w:r w:rsidDel="00000000" w:rsidR="00000000" w:rsidRPr="00000000">
        <w:rPr>
          <w:rtl w:val="0"/>
        </w:rPr>
        <w:t xml:space="preserve">, doravante denominada simplesmente </w:t>
      </w:r>
      <w:r w:rsidDel="00000000" w:rsidR="00000000" w:rsidRPr="00000000">
        <w:rPr>
          <w:b w:val="1"/>
          <w:rtl w:val="0"/>
        </w:rPr>
        <w:t xml:space="preserve">HEMOBRÁS</w:t>
      </w:r>
      <w:r w:rsidDel="00000000" w:rsidR="00000000" w:rsidRPr="00000000">
        <w:rPr>
          <w:rtl w:val="0"/>
        </w:rPr>
        <w:t xml:space="preserve">, neste ato representada por </w:t>
      </w:r>
      <w:r w:rsidDel="00000000" w:rsidR="00000000" w:rsidRPr="00000000">
        <w:rPr>
          <w:color w:val="ff0000"/>
          <w:rtl w:val="0"/>
        </w:rPr>
        <w:t xml:space="preserve">######</w:t>
      </w:r>
      <w:r w:rsidDel="00000000" w:rsidR="00000000" w:rsidRPr="00000000">
        <w:rPr>
          <w:rtl w:val="0"/>
        </w:rPr>
        <w:t xml:space="preserve">, portador da Cédula de Identidade nº </w:t>
      </w:r>
      <w:r w:rsidDel="00000000" w:rsidR="00000000" w:rsidRPr="00000000">
        <w:rPr>
          <w:color w:val="ff0000"/>
          <w:rtl w:val="0"/>
        </w:rPr>
        <w:t xml:space="preserve">######</w:t>
      </w:r>
      <w:r w:rsidDel="00000000" w:rsidR="00000000" w:rsidRPr="00000000">
        <w:rPr>
          <w:rtl w:val="0"/>
        </w:rPr>
        <w:t xml:space="preserve">, inscrito no CPF/MF sob o nº </w:t>
      </w:r>
      <w:r w:rsidDel="00000000" w:rsidR="00000000" w:rsidRPr="00000000">
        <w:rPr>
          <w:color w:val="ff0000"/>
          <w:rtl w:val="0"/>
        </w:rPr>
        <w:t xml:space="preserve">###.###.###-##</w:t>
      </w:r>
      <w:r w:rsidDel="00000000" w:rsidR="00000000" w:rsidRPr="00000000">
        <w:rPr>
          <w:rtl w:val="0"/>
        </w:rPr>
        <w:t xml:space="preserve">, no uso da competência atribuída pela </w:t>
      </w:r>
      <w:r w:rsidDel="00000000" w:rsidR="00000000" w:rsidRPr="00000000">
        <w:rPr>
          <w:color w:val="ff0000"/>
          <w:rtl w:val="0"/>
        </w:rPr>
        <w:t xml:space="preserve">######</w:t>
      </w:r>
      <w:r w:rsidDel="00000000" w:rsidR="00000000" w:rsidRPr="00000000">
        <w:rPr>
          <w:rtl w:val="0"/>
        </w:rPr>
        <w:t xml:space="preserve">, e a empresa </w:t>
      </w:r>
      <w:r w:rsidDel="00000000" w:rsidR="00000000" w:rsidRPr="00000000">
        <w:rPr>
          <w:color w:val="ff0000"/>
          <w:rtl w:val="0"/>
        </w:rPr>
        <w:t xml:space="preserve">######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inscrita no CNPJ sob o nº </w:t>
      </w:r>
      <w:r w:rsidDel="00000000" w:rsidR="00000000" w:rsidRPr="00000000">
        <w:rPr>
          <w:color w:val="ff0000"/>
          <w:rtl w:val="0"/>
        </w:rPr>
        <w:t xml:space="preserve">##.###.###/####-##</w:t>
      </w:r>
      <w:r w:rsidDel="00000000" w:rsidR="00000000" w:rsidRPr="00000000">
        <w:rPr>
          <w:rtl w:val="0"/>
        </w:rPr>
        <w:t xml:space="preserve">, com sede na ######, doravante denominada simplesmente </w:t>
      </w:r>
      <w:r w:rsidDel="00000000" w:rsidR="00000000" w:rsidRPr="00000000">
        <w:rPr>
          <w:b w:val="1"/>
          <w:rtl w:val="0"/>
        </w:rPr>
        <w:t xml:space="preserve">CONTRATADA</w:t>
      </w:r>
      <w:r w:rsidDel="00000000" w:rsidR="00000000" w:rsidRPr="00000000">
        <w:rPr>
          <w:rtl w:val="0"/>
        </w:rPr>
        <w:t xml:space="preserve">, neste ato representada pelo seu </w:t>
      </w:r>
      <w:r w:rsidDel="00000000" w:rsidR="00000000" w:rsidRPr="00000000">
        <w:rPr>
          <w:color w:val="ff0000"/>
          <w:rtl w:val="0"/>
        </w:rPr>
        <w:t xml:space="preserve">######</w:t>
      </w:r>
      <w:r w:rsidDel="00000000" w:rsidR="00000000" w:rsidRPr="00000000">
        <w:rPr>
          <w:rtl w:val="0"/>
        </w:rPr>
        <w:t xml:space="preserve">, portador da Cédula de Identidade de nº </w:t>
      </w:r>
      <w:r w:rsidDel="00000000" w:rsidR="00000000" w:rsidRPr="00000000">
        <w:rPr>
          <w:color w:val="ff0000"/>
          <w:rtl w:val="0"/>
        </w:rPr>
        <w:t xml:space="preserve">######</w:t>
      </w:r>
      <w:r w:rsidDel="00000000" w:rsidR="00000000" w:rsidRPr="00000000">
        <w:rPr>
          <w:rtl w:val="0"/>
        </w:rPr>
        <w:t xml:space="preserve"> e inscrito no CPF/MF nº </w:t>
      </w:r>
      <w:r w:rsidDel="00000000" w:rsidR="00000000" w:rsidRPr="00000000">
        <w:rPr>
          <w:color w:val="ff0000"/>
          <w:rtl w:val="0"/>
        </w:rPr>
        <w:t xml:space="preserve">###.###.###-##</w:t>
      </w:r>
      <w:r w:rsidDel="00000000" w:rsidR="00000000" w:rsidRPr="00000000">
        <w:rPr>
          <w:rtl w:val="0"/>
        </w:rPr>
        <w:t xml:space="preserve">, no uso das atribuições que lhe confere a documentação acostada aos autos, têm entre si justo e acordada a celebração do presente contrato, mediante as cláusulas e condições seguintes, que livremente estipulam, aceitam, outorgam e se obrigam a cumprir por si e por seus sucessores.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04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03" w:line="259" w:lineRule="auto"/>
        <w:ind w:left="10" w:right="16" w:firstLine="1.0000000000000009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DA FUNDAMENTAÇÃO LEGAL</w:t>
      </w:r>
    </w:p>
    <w:p w:rsidR="00000000" w:rsidDel="00000000" w:rsidP="00000000" w:rsidRDefault="00000000" w:rsidRPr="00000000" w14:paraId="0000000A">
      <w:pPr>
        <w:spacing w:after="103" w:line="259" w:lineRule="auto"/>
        <w:ind w:left="10" w:right="16" w:firstLine="1.0000000000000009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8" w:lineRule="auto"/>
        <w:ind w:left="10" w:right="4" w:firstLine="1.0000000000000009"/>
        <w:rPr/>
      </w:pPr>
      <w:r w:rsidDel="00000000" w:rsidR="00000000" w:rsidRPr="00000000">
        <w:rPr>
          <w:rtl w:val="0"/>
        </w:rPr>
        <w:t xml:space="preserve">A presente contratação foi precedida de </w:t>
      </w:r>
      <w:r w:rsidDel="00000000" w:rsidR="00000000" w:rsidRPr="00000000">
        <w:rPr>
          <w:color w:val="ff0000"/>
          <w:rtl w:val="0"/>
        </w:rPr>
        <w:t xml:space="preserve">#########</w:t>
      </w:r>
      <w:r w:rsidDel="00000000" w:rsidR="00000000" w:rsidRPr="00000000">
        <w:rPr>
          <w:rtl w:val="0"/>
        </w:rPr>
        <w:t xml:space="preserve"> nº </w:t>
      </w:r>
      <w:r w:rsidDel="00000000" w:rsidR="00000000" w:rsidRPr="00000000">
        <w:rPr>
          <w:color w:val="ff0000"/>
          <w:rtl w:val="0"/>
        </w:rPr>
        <w:t xml:space="preserve">##</w:t>
      </w:r>
      <w:r w:rsidDel="00000000" w:rsidR="00000000" w:rsidRPr="00000000">
        <w:rPr>
          <w:rtl w:val="0"/>
        </w:rPr>
        <w:t xml:space="preserve">/20</w:t>
      </w:r>
      <w:r w:rsidDel="00000000" w:rsidR="00000000" w:rsidRPr="00000000">
        <w:rPr>
          <w:color w:val="ff0000"/>
          <w:rtl w:val="0"/>
        </w:rPr>
        <w:t xml:space="preserve">##</w:t>
      </w:r>
      <w:r w:rsidDel="00000000" w:rsidR="00000000" w:rsidRPr="00000000">
        <w:rPr>
          <w:rtl w:val="0"/>
        </w:rPr>
        <w:t xml:space="preserve">, Processo nº 25800.000212/2024-88, realizado com observância das disposições do Regulamento de Licitações e Contratos – Hemobrás, aprovado através da Resolução CADM/HEMOBRÁS nº 27, de 13 de julho de 2023, disponível no endereço eletrônico www.hemobras.gov.br, da Lei 13.303, de 30 de Junho de 2016, e pelos preceitos de direito público, aplicando-lhe, supletivamente, os princípios da teoria geral dos contratos e as disposições de direito privado, e fundamenta-se nas condições expressas no Termo de Referência e na proposta da CONTRATADA, documentos estes que constituem parte integrante, vinculada e complementar do presente instrumento, dispensadas as suas transcrições.</w:t>
      </w:r>
    </w:p>
    <w:p w:rsidR="00000000" w:rsidDel="00000000" w:rsidP="00000000" w:rsidRDefault="00000000" w:rsidRPr="00000000" w14:paraId="0000000C">
      <w:pPr>
        <w:spacing w:after="8" w:lineRule="auto"/>
        <w:ind w:left="10" w:right="4" w:firstLine="1.00000000000000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PRIMEIRA – DO OBJETO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objeto do presente instrumento é a 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quisição de </w:t>
      </w:r>
      <w:r w:rsidDel="00000000" w:rsidR="00000000" w:rsidRPr="00000000">
        <w:rPr>
          <w:rtl w:val="0"/>
        </w:rPr>
        <w:t xml:space="preserve">monoetilenoglicol (MEG)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, que ser</w:t>
      </w:r>
      <w:r w:rsidDel="00000000" w:rsidR="00000000" w:rsidRPr="00000000">
        <w:rPr>
          <w:rtl w:val="0"/>
        </w:rPr>
        <w:t xml:space="preserve">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fo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rnecido nas condições estabelecidas no Termo de Referência.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Este Termo de Contrato vincula-se ao Termo de Referência, identificado no preâmbulo e à proposta vencedora, independentemente de transcrição.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Detalhamento do Objeto: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SEGUNDA – DA VIGÊNCIA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prazo de vigência do Contrat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o é de </w:t>
      </w:r>
      <w:r w:rsidDel="00000000" w:rsidR="00000000" w:rsidRPr="00000000">
        <w:rPr>
          <w:rtl w:val="0"/>
        </w:rPr>
        <w:t xml:space="preserve">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tl w:val="0"/>
        </w:rPr>
        <w:t xml:space="preserve">seis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meses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, 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ntados da data de assinatura do instrumento, admitindo-se prorrogação para os prazos de início das etapas de execução, de conclusão e de entrega.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TERCEIRA – DO PREÇO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valor total da contratação é de R$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######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######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QUARTA – DA DOTAÇÃO ORÇAMENTÁRIA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despesas decorrentes desta contratação estão programadas em dotação orçamentária própria, prevista no orçamento da Hemobrás asseguradas no saldo constante na conta orçamentária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##.##.######.###.##########.#####.##.##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QUINTA – DAS ESPECIFICAÇÕES TÉCNICAS DO OBJETO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regras acerca da presente cláusula são aquelas estabelecidas no Termo de Referência.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SEXTA - DOS CRITÉRIOS DE RECEBIMENTO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regras acerca da presente cláusula são aquelas estabelecidas no Termo de Referência.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SÉTIMA – DO PAGAMENTO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regras acerca da presente cláusula são aquelas estabelecidas no Termo de Referência.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OITAVA – DO REAJUSTE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regras acerca da presente cláusula são aquelas estabelecidas no Termo de Referência.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NONA – DO CONTROLE E FISCALIZAÇÃO DA EXECUÇÃO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regras acerca da presente cláusula são aquelas estabelecidas no Termo de Referência.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DÉCIMA – DAS OBRIGAÇÕES DA HEMOBRÁS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regras acerca da presente cláusula são aquelas estabelecidas no Termo de Referência.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DÉCIMA PRIMEIRA – DAS OBRIGAÇÕES DA CONTRATADA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regras acerca da presente cláusula são aquelas estabelecidas no Termo de Referência.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DÉCIMA SEGUNDA - DA SUBCONTRATAÇÃO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Não será admitida a subcontratação do objeto licitatório.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DÉCIMA TERCEIRA – DA ALTERAÇÃO SUBJETIVA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É admissível a fusão, cisão ou incorporação da contratada com/em outra pessoa jurídica, desde que sejam observados pela nova pessoa jurídica todos os requisitos de habilitação exigidos; sejam mantidas as demais cláusulas e condições do contrato; não haja prejuízo à execução do objeto pactuado e haja a anuência expressa da Hemobrás à continuidade do contrato.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DÉCIMA QUARTA – DAS SANÇÕES ADMINISTRATIVAS.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regras acerca da presente cláusula são aquelas estabelecidas no Termo de Referência.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DÉCIMA QUINTA – DA RESCISÃO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Sem prejuízo da aplicação das sanções previstas na Cláusula Décima Quarta, o presente Termo de Contrato poderá ser rescindido nas seguintes hipóteses: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Não cumprimento de cláusulas contratuais, especificações, projetos ou prazos, de forma total ou parcial;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Decretação de falência ou a instauração de insolvência civil; 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Descumprimento do disposto no inciso XXXIII do artigo 7º da Constituição Federal, que proíbe o trabalho noturno, perigoso ou insalubre a menores de 18 anos e qualquer trabalho a menores de 16 anos, salvo na condição de aprendiz, a partir de 14 anos; 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Prática de atos lesivos à Administração Pública previstos na Lei nº 12.846/2013; 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Inobservância da vedação ao nepotismo;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Prática de atos que prejudiquem ou comprometam à imagem ou reputação da Hemobrás, direta ou indiretamente. 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casos de rescisão contratual serão formalmente motivados, assegurando-se o direito à prévia e ampla defesa.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CONTRATADA reconhece os direitos da Hemobrás em caso de rescisão administrativa prevista neste instrumento de contrato, e as previstas na lei e no Regulamento de Licitações e Contratos da Hemobrás.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termo de rescisão, sempre que possível, será precedido: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Balanço dos eventos contratuais já cumpridos ou parcialmente cumpridos;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Relação dos pagamentos já efetuados e ainda devidos;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Indenizações e multas.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rescisão do contrato se dá: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forma unilateral, assegurada a prévia defesa; 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 acordo entre as partes, reduzido a termo no processo, desde que haja conveniência para a Hemobrás e para o contratado. 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 determinação judicial.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DÉCIMA SEXTA – DAS VEDAÇÕES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É vedado à CONTRATADA: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caucionar ou utilizar este Termo de Contrato para qualquer operação financeira;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interromper o fornecimento sob alegação de inadimplemento por parte da Hemobrás, salvo nos casos previstos em lei.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DÉCIMA SÉTIMA – DA MATRIZ DE RISCOS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regras acerca da presente cláusula são aquelas estabelecidas no Termo de Referência.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CLÁUSULA DÉCIMA OITAVA – DAS ALTERAÇÕES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Eventuais alterações contratuais reger-se-ão pela disciplina dos arts. 103 - 108 do Regulamento de Licitações e Contratos – Hemobrás e, subsidiariamente, no art. 81, da Lei 13.303, de 2016.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CONTRATADA poderá aceitar, nas mesmas condições contratuais, os acréscimos ou supressões que se fizerem necessários, até o limite de 25% (vinte e cinco por cento) do valor inicial atualizado do contrato.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supressões resultantes de acordo celebrado entre as partes contratantes poderão exceder o limite de 25% (vinte e cinco por cento) do valor inicial atualizado do contrato.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DÉCIMA NONA – DOS CASOS OMISSOS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casos omissos serão decididos pela Hemobrás, segundo as disposições contidas no Regulamento de Licitações e Contratos – Hemobrás, na Lei nº 13.303, de 2016, e demais normas federais aplicáveis e, subsidiariamente, nas normas e princípios gerais dos contratos.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VIGÉSIMA – DA PUBLICAÇÃO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Incumbirá à HEMOBRÁS providenciar a publicação deste instrumento, por extrato, no Diário Oficial da União.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VIGÉSIMA PRIMEIRA – DO CUMPRIMENTO AO PROGRAMA DE INTEGRIDADE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Due Diligence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a responsabilizações administrativas e legais pertinentes.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VIGÉSIMA SEGUNDA – DA PROTEÇÃO DE DADOS PESSOAIS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Caso a CONTRATADA seja obrigada por determinação legal a fornecer dados pessoais a uma autoridade pública, deverá informar previamente a HEMOBRÁS para que esta tome as medidas que julgar cabíveis.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CONTRATADA deverá notificar a HEMOBRÁS imediatamente a respeito de qualquer violação, por seus funcionários ou terceiros não autorizados, a respeito da proteção de Dados Pessoais.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CONTRATADA deverá cooperar com a HEMOBRÁS e tomar todas as medidas cabíveis para auxiliar a HEMOBRÁS e as autoridades competentes a investigar, mitigar e remediar o incidente ocorrido.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VIGÉSIMA TERCEIRA – DO FORO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113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partes contratantes ficam cientes de que o foro para dirimir as questões que não forem solucionadas na via administrativa será o da Justiça Federal em Pernambuco, Subseção Judiciária de Recife.  </w:t>
      </w:r>
    </w:p>
    <w:p w:rsidR="00000000" w:rsidDel="00000000" w:rsidP="00000000" w:rsidRDefault="00000000" w:rsidRPr="00000000" w14:paraId="0000006E">
      <w:pPr>
        <w:spacing w:after="103" w:line="259" w:lineRule="auto"/>
        <w:ind w:left="425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F">
      <w:pPr>
        <w:spacing w:after="103" w:line="259" w:lineRule="auto"/>
        <w:ind w:left="54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E, por estarem de acordo, depois de lido e achado conforme, o presente Contrato foi lavrado e assinado pelas partes e pelas testemunhas abaixo.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9.0" w:type="dxa"/>
        <w:jc w:val="left"/>
        <w:tblInd w:w="113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93"/>
        <w:gridCol w:w="4656"/>
        <w:tblGridChange w:id="0">
          <w:tblGrid>
            <w:gridCol w:w="4693"/>
            <w:gridCol w:w="4656"/>
          </w:tblGrid>
        </w:tblGridChange>
      </w:tblGrid>
      <w:tr>
        <w:trPr>
          <w:cantSplit w:val="0"/>
          <w:trHeight w:val="141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1" w:sz="12" w:val="single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1" w:sz="12" w:val="single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Responsável</w:t>
              <w:br w:type="textWrapping"/>
              <w:t xml:space="preserve">Empresa Brasileira de Hemoderivados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 Biotecnologia - Hemobrás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1" w:sz="12" w:val="single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1" w:sz="12" w:val="single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Responsável</w:t>
              <w:br w:type="textWrapping"/>
              <w:t xml:space="preserve">Contratada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8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1" w:sz="12" w:val="single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1" w:sz="12" w:val="single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Testemunha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1" w:sz="12" w:val="single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1" w:sz="12" w:val="single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Testemunha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spacing w:after="0" w:line="259" w:lineRule="auto"/>
        <w:ind w:left="0" w:firstLine="0"/>
        <w:jc w:val="left"/>
        <w:rPr/>
      </w:pPr>
      <w:bookmarkStart w:colFirst="0" w:colLast="0" w:name="_heading=h.q81edvc852g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350" w:top="2343" w:left="720" w:right="703" w:header="708" w:footer="16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5">
    <w:pPr>
      <w:spacing w:after="15" w:line="259" w:lineRule="auto"/>
      <w:ind w:left="0" w:right="15" w:firstLine="0"/>
      <w:jc w:val="center"/>
      <w:rPr/>
    </w:pPr>
    <w:r w:rsidDel="00000000" w:rsidR="00000000" w:rsidRPr="00000000">
      <w:rPr>
        <w:sz w:val="16"/>
        <w:szCs w:val="16"/>
        <w:rtl w:val="0"/>
      </w:rPr>
      <w:t xml:space="preserve">Boa Viagem Corporate, Rua Prof. Aloisio Pessoa de Araújo, 75, 8º e 9º andares, Boa Viagem, Recife-PE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spacing w:after="0" w:line="259" w:lineRule="auto"/>
      <w:ind w:left="0" w:right="18" w:firstLine="0"/>
      <w:jc w:val="center"/>
      <w:rPr/>
    </w:pPr>
    <w:r w:rsidDel="00000000" w:rsidR="00000000" w:rsidRPr="00000000">
      <w:rPr>
        <w:sz w:val="16"/>
        <w:szCs w:val="16"/>
        <w:rtl w:val="0"/>
      </w:rPr>
      <w:t xml:space="preserve">CEP: 51021-410 | Telefone: (81) 3464-9600 | www.hemobras.gov.br</w:t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spacing w:after="0" w:line="259" w:lineRule="auto"/>
      <w:ind w:left="0" w:right="14" w:firstLine="0"/>
      <w:jc w:val="right"/>
      <w:rPr/>
    </w:pPr>
    <w:r w:rsidDel="00000000" w:rsidR="00000000" w:rsidRPr="00000000">
      <w:rPr>
        <w:sz w:val="16"/>
        <w:szCs w:val="16"/>
        <w:rtl w:val="0"/>
      </w:rPr>
      <w:t xml:space="preserve">Página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6"/>
        <w:szCs w:val="16"/>
        <w:rtl w:val="0"/>
      </w:rPr>
      <w:t xml:space="preserve"> de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8">
    <w:pPr>
      <w:spacing w:after="12" w:line="226" w:lineRule="auto"/>
      <w:ind w:left="5154" w:right="12" w:firstLine="0"/>
      <w:jc w:val="right"/>
      <w:rPr/>
    </w:pPr>
    <w:r w:rsidDel="00000000" w:rsidR="00000000" w:rsidRPr="00000000">
      <w:rPr>
        <w:sz w:val="16"/>
        <w:szCs w:val="16"/>
        <w:rtl w:val="0"/>
      </w:rPr>
      <w:t xml:space="preserve">Modelo padronizado – Minuta de Contrato Versão – Novembro/2023 – Aprovado pelo Parecer Jurídico ##/2023/PJ/Hemobrás</w:t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spacing w:after="0" w:line="259" w:lineRule="auto"/>
      <w:ind w:left="0" w:firstLine="0"/>
      <w:jc w:val="left"/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spacing w:after="15" w:line="259" w:lineRule="auto"/>
      <w:ind w:left="0" w:right="15" w:firstLine="0"/>
      <w:jc w:val="center"/>
      <w:rPr/>
    </w:pPr>
    <w:r w:rsidDel="00000000" w:rsidR="00000000" w:rsidRPr="00000000">
      <w:rPr>
        <w:sz w:val="16"/>
        <w:szCs w:val="16"/>
        <w:rtl w:val="0"/>
      </w:rPr>
      <w:t xml:space="preserve">Boa Viagem Corporate, Rua Prof. Aloisio Pessoa de Araújo, 75, 8º e 9º andares, Boa Viagem, Recife-PE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spacing w:after="0" w:line="259" w:lineRule="auto"/>
      <w:ind w:left="0" w:right="18" w:firstLine="0"/>
      <w:jc w:val="center"/>
      <w:rPr/>
    </w:pPr>
    <w:r w:rsidDel="00000000" w:rsidR="00000000" w:rsidRPr="00000000">
      <w:rPr>
        <w:sz w:val="16"/>
        <w:szCs w:val="16"/>
        <w:rtl w:val="0"/>
      </w:rPr>
      <w:t xml:space="preserve">CEP: 51021-410 | Telefone: (81) 3464-9600 | www.hemobras.gov.br</w:t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spacing w:after="0" w:line="259" w:lineRule="auto"/>
      <w:ind w:left="0" w:right="14" w:firstLine="0"/>
      <w:jc w:val="right"/>
      <w:rPr/>
    </w:pPr>
    <w:r w:rsidDel="00000000" w:rsidR="00000000" w:rsidRPr="00000000">
      <w:rPr>
        <w:sz w:val="16"/>
        <w:szCs w:val="16"/>
        <w:rtl w:val="0"/>
      </w:rPr>
      <w:t xml:space="preserve">Página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6"/>
        <w:szCs w:val="16"/>
        <w:rtl w:val="0"/>
      </w:rPr>
      <w:t xml:space="preserve"> de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spacing w:after="12" w:line="226" w:lineRule="auto"/>
      <w:ind w:left="5154" w:right="12" w:firstLine="0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Modelo padronizado – Minuta de Contrato</w:t>
    </w:r>
  </w:p>
  <w:p w:rsidR="00000000" w:rsidDel="00000000" w:rsidP="00000000" w:rsidRDefault="00000000" w:rsidRPr="00000000" w14:paraId="0000008E">
    <w:pPr>
      <w:spacing w:after="12" w:line="226" w:lineRule="auto"/>
      <w:ind w:left="4962" w:right="12" w:firstLine="0"/>
      <w:jc w:val="right"/>
      <w:rPr/>
    </w:pPr>
    <w:r w:rsidDel="00000000" w:rsidR="00000000" w:rsidRPr="00000000">
      <w:rPr>
        <w:sz w:val="16"/>
        <w:szCs w:val="16"/>
        <w:rtl w:val="0"/>
      </w:rPr>
      <w:t xml:space="preserve">Versão – Novembro/2023 – Aprovado pelo Parecer Jurídico 161/2023/PJ/Hemobrás</w:t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spacing w:after="0" w:line="259" w:lineRule="auto"/>
      <w:ind w:left="0" w:firstLine="0"/>
      <w:jc w:val="left"/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spacing w:after="15" w:line="259" w:lineRule="auto"/>
      <w:ind w:left="0" w:right="15" w:firstLine="0"/>
      <w:jc w:val="center"/>
      <w:rPr/>
    </w:pPr>
    <w:r w:rsidDel="00000000" w:rsidR="00000000" w:rsidRPr="00000000">
      <w:rPr>
        <w:sz w:val="16"/>
        <w:szCs w:val="16"/>
        <w:rtl w:val="0"/>
      </w:rPr>
      <w:t xml:space="preserve">Boa Viagem Corporate, Rua Prof. Aloisio Pessoa de Araújo, 75, 8º e 9º andares, Boa Viagem, Recife-PE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spacing w:after="0" w:line="259" w:lineRule="auto"/>
      <w:ind w:left="0" w:right="18" w:firstLine="0"/>
      <w:jc w:val="center"/>
      <w:rPr/>
    </w:pPr>
    <w:r w:rsidDel="00000000" w:rsidR="00000000" w:rsidRPr="00000000">
      <w:rPr>
        <w:sz w:val="16"/>
        <w:szCs w:val="16"/>
        <w:rtl w:val="0"/>
      </w:rPr>
      <w:t xml:space="preserve">CEP: 51021-410 | Telefone: (81) 3464-9600 | www.hemobras.gov.br</w:t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2">
    <w:pPr>
      <w:spacing w:after="0" w:line="259" w:lineRule="auto"/>
      <w:ind w:left="0" w:right="14" w:firstLine="0"/>
      <w:jc w:val="right"/>
      <w:rPr/>
    </w:pPr>
    <w:r w:rsidDel="00000000" w:rsidR="00000000" w:rsidRPr="00000000">
      <w:rPr>
        <w:sz w:val="16"/>
        <w:szCs w:val="16"/>
        <w:rtl w:val="0"/>
      </w:rPr>
      <w:t xml:space="preserve">Página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6"/>
        <w:szCs w:val="16"/>
        <w:rtl w:val="0"/>
      </w:rPr>
      <w:t xml:space="preserve"> de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spacing w:after="12" w:line="226" w:lineRule="auto"/>
      <w:ind w:left="5154" w:right="12" w:firstLine="0"/>
      <w:jc w:val="right"/>
      <w:rPr/>
    </w:pPr>
    <w:r w:rsidDel="00000000" w:rsidR="00000000" w:rsidRPr="00000000">
      <w:rPr>
        <w:sz w:val="16"/>
        <w:szCs w:val="16"/>
        <w:rtl w:val="0"/>
      </w:rPr>
      <w:t xml:space="preserve">Modelo padronizado – Minuta de Contrato Versão – Novembro/2023 – Aprovado pelo Parecer Jurídico ##/2023/PJ/Hemobrás</w:t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spacing w:after="0" w:line="259" w:lineRule="auto"/>
      <w:ind w:left="0" w:firstLine="0"/>
      <w:jc w:val="left"/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2">
    <w:pPr>
      <w:spacing w:after="0" w:line="259" w:lineRule="auto"/>
      <w:ind w:left="30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476250</wp:posOffset>
          </wp:positionH>
          <wp:positionV relativeFrom="page">
            <wp:posOffset>449580</wp:posOffset>
          </wp:positionV>
          <wp:extent cx="1481836" cy="1031240"/>
          <wp:effectExtent b="0" l="0" r="0" t="0"/>
          <wp:wrapSquare wrapText="bothSides" distB="0" distT="0" distL="114300" distR="114300"/>
          <wp:docPr id="4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1836" cy="10312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spacing w:after="0" w:line="259" w:lineRule="auto"/>
      <w:ind w:left="30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476250</wp:posOffset>
          </wp:positionH>
          <wp:positionV relativeFrom="page">
            <wp:posOffset>449580</wp:posOffset>
          </wp:positionV>
          <wp:extent cx="1481836" cy="1031240"/>
          <wp:effectExtent b="0" l="0" r="0" t="0"/>
          <wp:wrapSquare wrapText="bothSides" distB="0" distT="0" distL="114300" distR="114300"/>
          <wp:docPr id="4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1836" cy="10312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4">
    <w:pPr>
      <w:spacing w:after="0" w:line="259" w:lineRule="auto"/>
      <w:ind w:left="30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476250</wp:posOffset>
          </wp:positionH>
          <wp:positionV relativeFrom="page">
            <wp:posOffset>449580</wp:posOffset>
          </wp:positionV>
          <wp:extent cx="1481836" cy="1031240"/>
          <wp:effectExtent b="0" l="0" r="0" t="0"/>
          <wp:wrapSquare wrapText="bothSides" distB="0" distT="0" distL="114300" distR="114300"/>
          <wp:docPr id="4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1836" cy="10312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color w:val="ffffff"/>
      </w:rPr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-BR"/>
      </w:rPr>
    </w:rPrDefault>
    <w:pPrDefault>
      <w:pPr>
        <w:spacing w:after="99" w:line="267" w:lineRule="auto"/>
        <w:ind w:left="11" w:hanging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01" w:before="0" w:line="266" w:lineRule="auto"/>
      <w:ind w:left="10" w:right="1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07" w:before="0" w:line="259" w:lineRule="auto"/>
      <w:ind w:left="805" w:right="0" w:hanging="10"/>
      <w:jc w:val="left"/>
    </w:pPr>
    <w:rPr>
      <w:rFonts w:ascii="Times New Roman" w:cs="Times New Roman" w:eastAsia="Times New Roman" w:hAnsi="Times New Roman"/>
      <w:b w:val="0"/>
      <w:i w:val="1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99" w:line="267" w:lineRule="auto"/>
      <w:ind w:left="11" w:hanging="10"/>
      <w:jc w:val="both"/>
    </w:pPr>
    <w:rPr>
      <w:rFonts w:ascii="Times New Roman" w:cs="Times New Roman" w:eastAsia="Times New Roman" w:hAnsi="Times New Roman"/>
      <w:color w:val="000000"/>
    </w:rPr>
  </w:style>
  <w:style w:type="paragraph" w:styleId="Ttulo1">
    <w:name w:val="heading 1"/>
    <w:next w:val="Normal"/>
    <w:link w:val="Ttulo1Char"/>
    <w:uiPriority w:val="9"/>
    <w:qFormat w:val="1"/>
    <w:pPr>
      <w:keepNext w:val="1"/>
      <w:keepLines w:val="1"/>
      <w:spacing w:after="101" w:line="266" w:lineRule="auto"/>
      <w:ind w:left="10" w:right="1" w:hanging="10"/>
      <w:outlineLvl w:val="0"/>
    </w:pPr>
    <w:rPr>
      <w:rFonts w:ascii="Times New Roman" w:cs="Times New Roman" w:eastAsia="Times New Roman" w:hAnsi="Times New Roman"/>
      <w:b w:val="1"/>
      <w:color w:val="000000"/>
    </w:rPr>
  </w:style>
  <w:style w:type="paragraph" w:styleId="Ttulo2">
    <w:name w:val="heading 2"/>
    <w:next w:val="Normal"/>
    <w:link w:val="Ttulo2Char"/>
    <w:uiPriority w:val="9"/>
    <w:unhideWhenUsed w:val="1"/>
    <w:qFormat w:val="1"/>
    <w:pPr>
      <w:keepNext w:val="1"/>
      <w:keepLines w:val="1"/>
      <w:spacing w:after="107"/>
      <w:ind w:left="805" w:hanging="10"/>
      <w:outlineLvl w:val="1"/>
    </w:pPr>
    <w:rPr>
      <w:rFonts w:ascii="Times New Roman" w:cs="Times New Roman" w:eastAsia="Times New Roman" w:hAnsi="Times New Roman"/>
      <w:i w:val="1"/>
      <w:color w:val="00000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2Char" w:customStyle="1">
    <w:name w:val="Título 2 Char"/>
    <w:link w:val="Ttulo2"/>
    <w:rPr>
      <w:rFonts w:ascii="Times New Roman" w:cs="Times New Roman" w:eastAsia="Times New Roman" w:hAnsi="Times New Roman"/>
      <w:i w:val="1"/>
      <w:color w:val="000000"/>
      <w:sz w:val="22"/>
    </w:rPr>
  </w:style>
  <w:style w:type="character" w:styleId="Ttulo1Char" w:customStyle="1">
    <w:name w:val="Título 1 Char"/>
    <w:link w:val="Ttulo1"/>
    <w:rPr>
      <w:rFonts w:ascii="Times New Roman" w:cs="Times New Roman" w:eastAsia="Times New Roman" w:hAnsi="Times New Roman"/>
      <w:b w:val="1"/>
      <w:color w:val="000000"/>
      <w:sz w:val="22"/>
    </w:rPr>
  </w:style>
  <w:style w:type="paragraph" w:styleId="PargrafodaLista">
    <w:name w:val="List Paragraph"/>
    <w:basedOn w:val="Normal"/>
    <w:uiPriority w:val="34"/>
    <w:qFormat w:val="1"/>
    <w:rsid w:val="007C6687"/>
    <w:pPr>
      <w:ind w:left="720"/>
      <w:contextualSpacing w:val="1"/>
    </w:pPr>
  </w:style>
  <w:style w:type="table" w:styleId="Tabelacomgrade">
    <w:name w:val="Table Grid"/>
    <w:basedOn w:val="Tabelanormal"/>
    <w:uiPriority w:val="39"/>
    <w:rsid w:val="00376CB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HKgO9dg77zs0lfzWjm8wZ6vMAQ==">CgMxLjAyDWgucTgxZWR2Yzg1Mmc4AHIhMW5QR05VV0paZkliZE9GZVdoOUdZWTZ3VEotWHRzWFpQ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2025-05-16T13:28:00Z</dcterms:created>
  <dc:creator>Adriano</dc:creator>
</cp:coreProperties>
</file>